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bookmarkStart w:id="0" w:name="_GoBack"/>
      <w:bookmarkEnd w:id="0"/>
      <w:r>
        <w:rPr>
          <w:rFonts w:hint="eastAsia" w:ascii="黑体" w:hAnsi="黑体" w:eastAsia="黑体" w:cs="黑体"/>
          <w:b w:val="0"/>
          <w:bCs w:val="0"/>
          <w:sz w:val="32"/>
          <w:szCs w:val="32"/>
          <w:lang w:val="en-US" w:eastAsia="zh-CN"/>
        </w:rPr>
        <w:t>目录</w:t>
      </w:r>
    </w:p>
    <w:p>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2022年中关村科技园区丰台园社会事务服务中心部门预算情况说明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一、部门情况</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二、收入预算说明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三、支出预算说明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四、部门"三公"经费财政拨款预算说明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五、其他情况说明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 xml:space="preserve">   （一）部门政府采购预算说明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 xml:space="preserve">   （二）政府购买服务预算说明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（三）机关运行经费情况说明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（四）项目支出绩效目标情况说明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（五）重点行政事业性收费情况说明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（六）国有资本经营预算财政拨款情况说明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（七）固定资产占有使用情况说明</w:t>
      </w:r>
    </w:p>
    <w:p>
      <w:pPr>
        <w:numPr>
          <w:ilvl w:val="0"/>
          <w:numId w:val="0"/>
        </w:numPr>
        <w:ind w:firstLine="960" w:firstLineChars="300"/>
        <w:rPr>
          <w:rFonts w:hint="default" w:ascii="宋体" w:hAnsi="宋体" w:cs="宋体"/>
          <w:sz w:val="32"/>
          <w:szCs w:val="32"/>
          <w:lang w:val="en-US" w:eastAsia="zh-CN"/>
        </w:rPr>
      </w:pPr>
      <w:r>
        <w:rPr>
          <w:rFonts w:hint="eastAsia" w:ascii="宋体" w:hAnsi="宋体" w:cs="宋体"/>
          <w:sz w:val="32"/>
          <w:szCs w:val="32"/>
          <w:lang w:val="en-US" w:eastAsia="zh-CN"/>
        </w:rPr>
        <w:t>（八）其他事项说明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六、名词解释</w:t>
      </w:r>
    </w:p>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2022年中关村科技园区丰台园社会事务服务中心部门预算报表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一、收支总表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二、收入总表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三、支出总表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四、项目支出表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五、政府采购预算明细表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六、财拨总表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七、一般公共预算财政拨款支出表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八、一般公共预算财政拨款基本支出表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九、政府性基金预算财政拨款支出表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十、国有资本经营预算财政拨款支出表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十一、三公经费支出表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十二、政府购买服务预算财政拨款明细表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十三、项目支出绩效表</w:t>
      </w:r>
    </w:p>
    <w:p>
      <w:pPr>
        <w:numPr>
          <w:ilvl w:val="0"/>
          <w:numId w:val="0"/>
        </w:numPr>
        <w:ind w:left="525" w:leftChars="0"/>
        <w:rPr>
          <w:rFonts w:hint="default" w:ascii="宋体" w:hAnsi="宋体" w:cs="宋体"/>
          <w:sz w:val="32"/>
          <w:szCs w:val="32"/>
          <w:lang w:val="en-US" w:eastAsia="zh-CN"/>
        </w:rPr>
      </w:pPr>
      <w:r>
        <w:rPr>
          <w:rFonts w:hint="eastAsia" w:ascii="宋体" w:hAnsi="宋体" w:cs="宋体"/>
          <w:sz w:val="32"/>
          <w:szCs w:val="32"/>
          <w:lang w:val="en-US" w:eastAsia="zh-CN"/>
        </w:rPr>
        <w:t>十四、部门整体支出绩效目标申报表</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cs="宋体"/>
          <w:b/>
          <w:color w:val="000000"/>
          <w:spacing w:val="15"/>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2022年中关村科技园区丰台园社会事务服务中心部门预算情况说明</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cs="宋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（一）部门机构设置、职责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本部门为公益一类事业单位，机构规格正科级，经费形式财政补助。主要职责是：贯彻落实市区各项政策措施，承担园区社会事务管理相关工作；按照城市精细化管理要求，提升园区治理水平。</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人员构成情况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本部门事业编制26人，实际23人；聘用人员5人。离退休人员3人，其中：离休0人，退休3人。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本预算年度的主要工作任务</w:t>
      </w:r>
    </w:p>
    <w:p>
      <w:pPr>
        <w:widowControl/>
        <w:numPr>
          <w:ilvl w:val="0"/>
          <w:numId w:val="2"/>
        </w:numPr>
        <w:adjustRightInd w:val="0"/>
        <w:spacing w:line="560" w:lineRule="exact"/>
        <w:ind w:left="1260" w:leftChars="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事业单位人员工资及日常运转；</w:t>
      </w:r>
    </w:p>
    <w:p>
      <w:pPr>
        <w:widowControl/>
        <w:numPr>
          <w:ilvl w:val="0"/>
          <w:numId w:val="2"/>
        </w:numPr>
        <w:adjustRightInd w:val="0"/>
        <w:spacing w:line="560" w:lineRule="exact"/>
        <w:ind w:left="1260" w:leftChars="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园区保安、保洁、绿化养护、公益设施维护等日常运转</w:t>
      </w:r>
      <w:r>
        <w:rPr>
          <w:rFonts w:hint="eastAsia" w:ascii="仿宋_GB2312" w:hAnsi="宋体" w:eastAsia="仿宋_GB2312" w:cs="宋体"/>
          <w:color w:val="000000"/>
          <w:spacing w:val="15"/>
          <w:kern w:val="0"/>
          <w:sz w:val="32"/>
          <w:szCs w:val="32"/>
          <w:lang w:eastAsia="zh-CN"/>
        </w:rPr>
        <w:t>；</w:t>
      </w:r>
    </w:p>
    <w:p>
      <w:pPr>
        <w:widowControl/>
        <w:numPr>
          <w:ilvl w:val="0"/>
          <w:numId w:val="2"/>
        </w:numPr>
        <w:adjustRightInd w:val="0"/>
        <w:spacing w:line="560" w:lineRule="exact"/>
        <w:ind w:left="1260" w:leftChars="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园区应急管理、交通安全和安全生产工作运转</w:t>
      </w:r>
      <w:r>
        <w:rPr>
          <w:rFonts w:hint="eastAsia" w:ascii="仿宋_GB2312" w:hAnsi="宋体" w:eastAsia="仿宋_GB2312" w:cs="宋体"/>
          <w:color w:val="000000"/>
          <w:spacing w:val="15"/>
          <w:kern w:val="0"/>
          <w:sz w:val="32"/>
          <w:szCs w:val="32"/>
          <w:lang w:eastAsia="zh-CN"/>
        </w:rPr>
        <w:t>；</w:t>
      </w:r>
    </w:p>
    <w:p>
      <w:pPr>
        <w:widowControl/>
        <w:numPr>
          <w:ilvl w:val="0"/>
          <w:numId w:val="2"/>
        </w:numPr>
        <w:adjustRightInd w:val="0"/>
        <w:spacing w:line="560" w:lineRule="exact"/>
        <w:ind w:left="1260" w:leftChars="0"/>
        <w:jc w:val="left"/>
        <w:rPr>
          <w:rFonts w:hint="default" w:ascii="楷体_GB2312" w:hAnsi="楷体_GB2312" w:eastAsia="楷体_GB2312" w:cs="楷体_GB2312"/>
          <w:sz w:val="32"/>
          <w:szCs w:val="32"/>
          <w:lang w:val="en-US" w:eastAsia="zh-CN"/>
        </w:rPr>
      </w:pPr>
      <w:r>
        <w:rPr>
          <w:rFonts w:hint="eastAsia" w:ascii="仿宋_GB2312" w:hAnsi="宋体" w:eastAsia="仿宋_GB2312" w:cs="宋体"/>
          <w:color w:val="000000"/>
          <w:spacing w:val="15"/>
          <w:kern w:val="0"/>
          <w:sz w:val="32"/>
          <w:szCs w:val="32"/>
        </w:rPr>
        <w:t>园区社会化服务管理工作日常运转</w:t>
      </w:r>
      <w:r>
        <w:rPr>
          <w:rFonts w:hint="eastAsia" w:ascii="仿宋_GB2312" w:hAnsi="宋体" w:eastAsia="仿宋_GB2312" w:cs="宋体"/>
          <w:color w:val="000000"/>
          <w:spacing w:val="15"/>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二、收入预算说明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default" w:ascii="仿宋_GB2312" w:hAnsi="仿宋_GB2312" w:eastAsia="仿宋_GB2312" w:cs="仿宋_GB2312"/>
          <w:sz w:val="32"/>
          <w:szCs w:val="32"/>
          <w:lang w:val="en-US" w:eastAsia="zh-CN"/>
        </w:rPr>
        <w:t>2022年收入预算</w:t>
      </w:r>
      <w:r>
        <w:rPr>
          <w:rFonts w:hint="eastAsia" w:ascii="仿宋_GB2312" w:hAnsi="仿宋_GB2312" w:eastAsia="仿宋_GB2312" w:cs="仿宋_GB2312"/>
          <w:sz w:val="32"/>
          <w:szCs w:val="32"/>
          <w:lang w:val="en-US" w:eastAsia="zh-CN"/>
        </w:rPr>
        <w:t>2823.28</w:t>
      </w:r>
      <w:r>
        <w:rPr>
          <w:rFonts w:hint="default" w:ascii="仿宋_GB2312" w:hAnsi="仿宋_GB2312" w:eastAsia="仿宋_GB2312" w:cs="仿宋_GB2312"/>
          <w:sz w:val="32"/>
          <w:szCs w:val="32"/>
          <w:lang w:val="en-US" w:eastAsia="zh-CN"/>
        </w:rPr>
        <w:t>万元，比2021年</w:t>
      </w:r>
      <w:r>
        <w:rPr>
          <w:rFonts w:hint="eastAsia" w:ascii="仿宋_GB2312" w:hAnsi="宋体" w:eastAsia="仿宋_GB2312" w:cs="宋体"/>
          <w:color w:val="000000"/>
          <w:spacing w:val="15"/>
          <w:kern w:val="0"/>
          <w:sz w:val="32"/>
          <w:szCs w:val="32"/>
        </w:rPr>
        <w:t>3093.08</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减少269.80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减少8.72</w:t>
      </w:r>
      <w:r>
        <w:rPr>
          <w:rFonts w:hint="default" w:ascii="仿宋_GB2312" w:hAnsi="仿宋_GB2312" w:eastAsia="仿宋_GB2312" w:cs="仿宋_GB2312"/>
          <w:sz w:val="32"/>
          <w:szCs w:val="32"/>
          <w:lang w:val="en-US" w:eastAsia="zh-CN"/>
        </w:rPr>
        <w:t>%。其中：本年财政拨款收入</w:t>
      </w:r>
      <w:r>
        <w:rPr>
          <w:rFonts w:hint="eastAsia" w:ascii="仿宋_GB2312" w:hAnsi="仿宋_GB2312" w:eastAsia="仿宋_GB2312" w:cs="仿宋_GB2312"/>
          <w:sz w:val="32"/>
          <w:szCs w:val="32"/>
          <w:lang w:val="en-US" w:eastAsia="zh-CN"/>
        </w:rPr>
        <w:t>2823.28</w:t>
      </w:r>
      <w:r>
        <w:rPr>
          <w:rFonts w:hint="default" w:ascii="仿宋_GB2312" w:hAnsi="仿宋_GB2312" w:eastAsia="仿宋_GB2312" w:cs="仿宋_GB2312"/>
          <w:sz w:val="32"/>
          <w:szCs w:val="32"/>
          <w:lang w:val="en-US" w:eastAsia="zh-CN"/>
        </w:rPr>
        <w:t>万元,比2021年</w:t>
      </w:r>
      <w:r>
        <w:rPr>
          <w:rFonts w:hint="eastAsia" w:ascii="仿宋_GB2312" w:hAnsi="宋体" w:eastAsia="仿宋_GB2312" w:cs="宋体"/>
          <w:color w:val="000000"/>
          <w:spacing w:val="15"/>
          <w:kern w:val="0"/>
          <w:sz w:val="32"/>
          <w:szCs w:val="32"/>
        </w:rPr>
        <w:t>3093.08</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减少269.80</w:t>
      </w:r>
      <w:r>
        <w:rPr>
          <w:rFonts w:hint="default" w:ascii="仿宋_GB2312" w:hAnsi="仿宋_GB2312" w:eastAsia="仿宋_GB2312" w:cs="仿宋_GB2312"/>
          <w:sz w:val="32"/>
          <w:szCs w:val="32"/>
          <w:lang w:val="en-US" w:eastAsia="zh-CN"/>
        </w:rPr>
        <w:t>万元；本年其他资金收入</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2021年持平；上年结转结余资金</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万元,与2021年持平</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三、支出预算说明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（一）基本支出预算</w:t>
      </w:r>
      <w:r>
        <w:rPr>
          <w:rFonts w:hint="eastAsia" w:ascii="仿宋_GB2312" w:hAnsi="仿宋_GB2312" w:eastAsia="仿宋_GB2312" w:cs="仿宋_GB2312"/>
          <w:sz w:val="32"/>
          <w:szCs w:val="32"/>
          <w:lang w:val="en-US" w:eastAsia="zh-CN"/>
        </w:rPr>
        <w:t>785.01</w:t>
      </w:r>
      <w:r>
        <w:rPr>
          <w:rFonts w:hint="default" w:ascii="仿宋_GB2312" w:hAnsi="仿宋_GB2312" w:eastAsia="仿宋_GB2312" w:cs="仿宋_GB2312"/>
          <w:sz w:val="32"/>
          <w:szCs w:val="32"/>
          <w:lang w:val="en-US" w:eastAsia="zh-CN"/>
        </w:rPr>
        <w:t>万元，占总支出预算</w:t>
      </w:r>
      <w:r>
        <w:rPr>
          <w:rFonts w:hint="eastAsia" w:ascii="仿宋_GB2312" w:hAnsi="仿宋_GB2312" w:eastAsia="仿宋_GB2312" w:cs="仿宋_GB2312"/>
          <w:sz w:val="32"/>
          <w:szCs w:val="32"/>
          <w:lang w:val="en-US" w:eastAsia="zh-CN"/>
        </w:rPr>
        <w:t>27.80</w:t>
      </w:r>
      <w:r>
        <w:rPr>
          <w:rFonts w:hint="default" w:ascii="仿宋_GB2312" w:hAnsi="仿宋_GB2312" w:eastAsia="仿宋_GB2312" w:cs="仿宋_GB2312"/>
          <w:sz w:val="32"/>
          <w:szCs w:val="32"/>
          <w:lang w:val="en-US" w:eastAsia="zh-CN"/>
        </w:rPr>
        <w:t>%，比2021年</w:t>
      </w:r>
      <w:r>
        <w:rPr>
          <w:rFonts w:hint="eastAsia" w:ascii="仿宋_GB2312" w:hAnsi="仿宋_GB2312" w:eastAsia="仿宋_GB2312" w:cs="仿宋_GB2312"/>
          <w:sz w:val="32"/>
          <w:szCs w:val="32"/>
          <w:lang w:val="en-US" w:eastAsia="zh-CN"/>
        </w:rPr>
        <w:t>904.29</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减少119.28</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减少13.19</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（二）项目支出预算</w:t>
      </w:r>
      <w:r>
        <w:rPr>
          <w:rFonts w:hint="eastAsia" w:ascii="仿宋_GB2312" w:hAnsi="仿宋_GB2312" w:eastAsia="仿宋_GB2312" w:cs="仿宋_GB2312"/>
          <w:sz w:val="32"/>
          <w:szCs w:val="32"/>
          <w:lang w:val="en-US" w:eastAsia="zh-CN"/>
        </w:rPr>
        <w:t>2038.27</w:t>
      </w:r>
      <w:r>
        <w:rPr>
          <w:rFonts w:hint="default" w:ascii="仿宋_GB2312" w:hAnsi="仿宋_GB2312" w:eastAsia="仿宋_GB2312" w:cs="仿宋_GB2312"/>
          <w:sz w:val="32"/>
          <w:szCs w:val="32"/>
          <w:lang w:val="en-US" w:eastAsia="zh-CN"/>
        </w:rPr>
        <w:t>万元，比2021年</w:t>
      </w:r>
      <w:r>
        <w:rPr>
          <w:rFonts w:hint="eastAsia" w:ascii="仿宋_GB2312" w:hAnsi="仿宋_GB2312" w:eastAsia="仿宋_GB2312" w:cs="仿宋_GB2312"/>
          <w:sz w:val="32"/>
          <w:szCs w:val="32"/>
          <w:lang w:val="en-US" w:eastAsia="zh-CN"/>
        </w:rPr>
        <w:t>2188.79</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减少150.52</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减少6.88</w:t>
      </w:r>
      <w:r>
        <w:rPr>
          <w:rFonts w:hint="default" w:ascii="仿宋_GB2312" w:hAnsi="仿宋_GB2312" w:eastAsia="仿宋_GB2312" w:cs="仿宋_GB2312"/>
          <w:sz w:val="32"/>
          <w:szCs w:val="32"/>
          <w:lang w:val="en-US" w:eastAsia="zh-CN"/>
        </w:rPr>
        <w:t>%，减少原因</w:t>
      </w:r>
      <w:r>
        <w:rPr>
          <w:rFonts w:hint="eastAsia" w:ascii="仿宋_GB2312" w:hAnsi="仿宋_GB2312" w:eastAsia="仿宋_GB2312" w:cs="仿宋_GB2312"/>
          <w:sz w:val="32"/>
          <w:szCs w:val="32"/>
          <w:lang w:val="en-US" w:eastAsia="zh-CN"/>
        </w:rPr>
        <w:t>为机构改革、变更办公地点等</w:t>
      </w:r>
      <w:r>
        <w:rPr>
          <w:rFonts w:hint="default" w:ascii="仿宋_GB2312" w:hAnsi="仿宋_GB2312" w:eastAsia="仿宋_GB2312" w:cs="仿宋_GB2312"/>
          <w:sz w:val="32"/>
          <w:szCs w:val="32"/>
          <w:lang w:val="en-US" w:eastAsia="zh-CN"/>
        </w:rPr>
        <w:t>。部门预算项目主要为</w:t>
      </w:r>
      <w:r>
        <w:rPr>
          <w:rFonts w:hint="eastAsia" w:ascii="仿宋_GB2312" w:hAnsi="仿宋_GB2312" w:eastAsia="仿宋_GB2312" w:cs="仿宋_GB2312"/>
          <w:sz w:val="32"/>
          <w:szCs w:val="32"/>
          <w:lang w:val="en-US" w:eastAsia="zh-CN"/>
        </w:rPr>
        <w:t>园区环境治理相关经费</w:t>
      </w:r>
      <w:r>
        <w:rPr>
          <w:rFonts w:hint="default" w:ascii="仿宋_GB2312" w:hAnsi="仿宋_GB2312" w:eastAsia="仿宋_GB2312" w:cs="仿宋_GB2312"/>
          <w:sz w:val="32"/>
          <w:szCs w:val="32"/>
          <w:lang w:val="en-US" w:eastAsia="zh-CN"/>
        </w:rPr>
        <w:t>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（三）事业单位经营支出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万元,与2021年持平。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（四）上缴上级支出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万元,与2021年持平。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（五）对附属单位补助支出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万元,与2021年持平。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四、部门"三公"经费财政拨款预算说明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（一）"三公经费"的单位范围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因公出国（境）费用、公务接待费、公务用车购置和运行维护费开支单位</w:t>
      </w:r>
      <w:r>
        <w:rPr>
          <w:rFonts w:hint="eastAsia" w:ascii="仿宋_GB2312" w:hAnsi="仿宋_GB2312" w:eastAsia="仿宋_GB2312" w:cs="仿宋_GB2312"/>
          <w:sz w:val="32"/>
          <w:szCs w:val="32"/>
          <w:lang w:val="en-US" w:eastAsia="zh-CN"/>
        </w:rPr>
        <w:t>无下</w:t>
      </w:r>
      <w:r>
        <w:rPr>
          <w:rFonts w:hint="default" w:ascii="仿宋_GB2312" w:hAnsi="仿宋_GB2312" w:eastAsia="仿宋_GB2312" w:cs="仿宋_GB2312"/>
          <w:sz w:val="32"/>
          <w:szCs w:val="32"/>
          <w:lang w:val="en-US" w:eastAsia="zh-CN"/>
        </w:rPr>
        <w:t>属单位。</w:t>
      </w:r>
    </w:p>
    <w:p>
      <w:pPr>
        <w:keepNext w:val="0"/>
        <w:keepLines w:val="0"/>
        <w:pageBreakBefore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"三公经费"财政拨款情况说明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2022年"三公经费"财政拨款预算</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万元，比2021年"三公经费"财政拨款预算减少</w:t>
      </w:r>
      <w:r>
        <w:rPr>
          <w:rFonts w:hint="eastAsia" w:ascii="仿宋_GB2312" w:hAnsi="仿宋_GB2312" w:eastAsia="仿宋_GB2312" w:cs="仿宋_GB2312"/>
          <w:sz w:val="32"/>
          <w:szCs w:val="32"/>
          <w:lang w:val="en-US" w:eastAsia="zh-CN"/>
        </w:rPr>
        <w:t>0.59</w:t>
      </w:r>
      <w:r>
        <w:rPr>
          <w:rFonts w:hint="default" w:ascii="仿宋_GB2312" w:hAnsi="仿宋_GB2312" w:eastAsia="仿宋_GB2312" w:cs="仿宋_GB2312"/>
          <w:sz w:val="32"/>
          <w:szCs w:val="32"/>
          <w:lang w:val="en-US" w:eastAsia="zh-CN"/>
        </w:rPr>
        <w:t>万元。其中：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1.因公出国（境）费用。2022年预算数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2021年持平，主要原因：</w:t>
      </w:r>
      <w:r>
        <w:rPr>
          <w:rFonts w:hint="eastAsia" w:ascii="仿宋_GB2312" w:hAnsi="仿宋_GB2312" w:eastAsia="仿宋_GB2312" w:cs="仿宋_GB2312"/>
          <w:sz w:val="32"/>
          <w:szCs w:val="32"/>
          <w:lang w:val="en-US" w:eastAsia="zh-CN"/>
        </w:rPr>
        <w:t>不需要此项经费</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2.公务接待费。2022年预算数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比</w:t>
      </w:r>
      <w:r>
        <w:rPr>
          <w:rFonts w:hint="default"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val="en-US" w:eastAsia="zh-CN"/>
        </w:rPr>
        <w:t>减少0.59万元</w:t>
      </w:r>
      <w:r>
        <w:rPr>
          <w:rFonts w:hint="default" w:ascii="仿宋_GB2312" w:hAnsi="仿宋_GB2312" w:eastAsia="仿宋_GB2312" w:cs="仿宋_GB2312"/>
          <w:sz w:val="32"/>
          <w:szCs w:val="32"/>
          <w:lang w:val="en-US" w:eastAsia="zh-CN"/>
        </w:rPr>
        <w:t>，主要原因：</w:t>
      </w:r>
      <w:r>
        <w:rPr>
          <w:rFonts w:hint="eastAsia" w:ascii="仿宋_GB2312" w:hAnsi="仿宋_GB2312" w:eastAsia="仿宋_GB2312" w:cs="仿宋_GB2312"/>
          <w:sz w:val="32"/>
          <w:szCs w:val="32"/>
          <w:lang w:val="en-US" w:eastAsia="zh-CN"/>
        </w:rPr>
        <w:t>厉行节约，降低行政事业运行成本</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3.公务用车购置和运行维护费。2022年预算数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万元，与2021年持平，主要原因：</w:t>
      </w:r>
      <w:r>
        <w:rPr>
          <w:rFonts w:hint="eastAsia" w:ascii="仿宋_GB2312" w:hAnsi="仿宋_GB2312" w:eastAsia="仿宋_GB2312" w:cs="仿宋_GB2312"/>
          <w:sz w:val="32"/>
          <w:szCs w:val="32"/>
          <w:lang w:val="en-US" w:eastAsia="zh-CN"/>
        </w:rPr>
        <w:t>无公车，不需要此项经费</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五、其他情况说明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（一）部门政府采购预算说明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宋体" w:hAnsi="宋体" w:cs="宋体"/>
          <w:sz w:val="32"/>
          <w:szCs w:val="32"/>
          <w:lang w:val="en-US" w:eastAsia="zh-CN"/>
        </w:rPr>
      </w:pPr>
      <w:r>
        <w:rPr>
          <w:rFonts w:hint="default" w:ascii="宋体" w:hAnsi="宋体" w:cs="宋体"/>
          <w:sz w:val="32"/>
          <w:szCs w:val="32"/>
          <w:lang w:val="en-US" w:eastAsia="zh-CN"/>
        </w:rPr>
        <w:t xml:space="preserve">   </w:t>
      </w:r>
      <w:r>
        <w:rPr>
          <w:rFonts w:hint="default" w:ascii="仿宋_GB2312" w:hAnsi="仿宋_GB2312" w:eastAsia="仿宋_GB2312" w:cs="仿宋_GB2312"/>
          <w:sz w:val="32"/>
          <w:szCs w:val="32"/>
          <w:lang w:val="en-US" w:eastAsia="zh-CN"/>
        </w:rPr>
        <w:t xml:space="preserve"> 2022年</w:t>
      </w: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政府采购预算总额</w:t>
      </w:r>
      <w:r>
        <w:rPr>
          <w:rFonts w:hint="eastAsia" w:ascii="仿宋_GB2312" w:hAnsi="仿宋_GB2312" w:eastAsia="仿宋_GB2312" w:cs="仿宋_GB2312"/>
          <w:sz w:val="32"/>
          <w:szCs w:val="32"/>
          <w:lang w:val="en-US" w:eastAsia="zh-CN"/>
        </w:rPr>
        <w:t>145.18</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（二）政府购买服务预算说明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lang w:val="en-US" w:eastAsia="zh-CN"/>
        </w:rPr>
      </w:pPr>
      <w:r>
        <w:rPr>
          <w:rFonts w:hint="default"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政府购买服务预算总额</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3"/>
        </w:numPr>
        <w:kinsoku/>
        <w:wordWrap/>
        <w:overflowPunct/>
        <w:topLinePunct w:val="0"/>
        <w:autoSpaceDE/>
        <w:autoSpaceDN/>
        <w:bidi w:val="0"/>
        <w:adjustRightInd/>
        <w:snapToGrid/>
        <w:spacing w:line="560" w:lineRule="exact"/>
        <w:ind w:left="-10" w:leftChars="0" w:firstLine="640" w:firstLineChars="0"/>
        <w:textAlignment w:val="auto"/>
        <w:rPr>
          <w:rFonts w:hint="default" w:ascii="楷体_GB2312" w:hAnsi="楷体_GB2312" w:eastAsia="楷体_GB2312" w:cs="楷体_GB2312"/>
          <w:color w:val="FF0000"/>
          <w:sz w:val="32"/>
          <w:szCs w:val="32"/>
          <w:lang w:val="en-US" w:eastAsia="zh-CN"/>
        </w:rPr>
      </w:pPr>
      <w:r>
        <w:rPr>
          <w:rFonts w:hint="default" w:ascii="楷体_GB2312" w:hAnsi="楷体_GB2312" w:eastAsia="楷体_GB2312" w:cs="楷体_GB2312"/>
          <w:color w:val="auto"/>
          <w:sz w:val="32"/>
          <w:szCs w:val="32"/>
          <w:lang w:val="en-US" w:eastAsia="zh-CN"/>
        </w:rPr>
        <w:t>机关运行经费情况说明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color w:val="FF0000"/>
          <w:sz w:val="32"/>
          <w:szCs w:val="32"/>
          <w:lang w:val="en-US" w:eastAsia="zh-CN"/>
        </w:rPr>
      </w:pPr>
      <w:r>
        <w:rPr>
          <w:rFonts w:ascii="仿宋_GB2312" w:hAnsi="仿宋_GB2312" w:eastAsia="仿宋_GB2312" w:cs="仿宋_GB2312"/>
          <w:sz w:val="32"/>
          <w:szCs w:val="32"/>
        </w:rPr>
        <w:t>2022年</w:t>
      </w:r>
      <w:r>
        <w:rPr>
          <w:rFonts w:hint="eastAsia" w:ascii="仿宋_GB2312" w:hAnsi="宋体" w:eastAsia="仿宋_GB2312" w:cs="宋体"/>
          <w:color w:val="000000"/>
          <w:spacing w:val="15"/>
          <w:kern w:val="0"/>
          <w:sz w:val="32"/>
          <w:szCs w:val="32"/>
        </w:rPr>
        <w:t>中关村科技园区丰台园</w:t>
      </w:r>
      <w:r>
        <w:rPr>
          <w:rFonts w:hint="eastAsia" w:ascii="仿宋_GB2312" w:hAnsi="宋体" w:eastAsia="仿宋_GB2312" w:cs="宋体"/>
          <w:color w:val="000000"/>
          <w:spacing w:val="15"/>
          <w:kern w:val="0"/>
          <w:sz w:val="32"/>
          <w:szCs w:val="32"/>
          <w:lang w:val="en-US" w:eastAsia="zh-CN"/>
        </w:rPr>
        <w:t>社会事务服务</w:t>
      </w:r>
      <w:r>
        <w:rPr>
          <w:rFonts w:hint="eastAsia" w:ascii="仿宋_GB2312" w:hAnsi="宋体" w:eastAsia="仿宋_GB2312" w:cs="宋体"/>
          <w:color w:val="000000"/>
          <w:spacing w:val="15"/>
          <w:kern w:val="0"/>
          <w:sz w:val="32"/>
          <w:szCs w:val="32"/>
        </w:rPr>
        <w:t>中心</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家行政单位以及</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家参公管理事业单位的机关运行经费财政拨款预算</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lang w:val="en-US" w:eastAsia="zh-CN"/>
        </w:rPr>
      </w:pPr>
      <w:r>
        <w:rPr>
          <w:rFonts w:hint="default" w:ascii="楷体_GB2312" w:hAnsi="楷体_GB2312" w:eastAsia="楷体_GB2312" w:cs="楷体_GB2312"/>
          <w:sz w:val="32"/>
          <w:szCs w:val="32"/>
          <w:lang w:val="en-US" w:eastAsia="zh-CN"/>
        </w:rPr>
        <w:t xml:space="preserve">（四）项目支出绩效目标情况说明 </w:t>
      </w:r>
      <w:r>
        <w:rPr>
          <w:rFonts w:hint="default" w:ascii="宋体" w:hAnsi="宋体" w:cs="宋体"/>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填报绩效目标的预算项目</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个，占全部预算项目</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个的</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%。填报绩效目标的项目支出预算</w:t>
      </w:r>
      <w:r>
        <w:rPr>
          <w:rFonts w:hint="eastAsia" w:ascii="仿宋_GB2312" w:hAnsi="仿宋_GB2312" w:eastAsia="仿宋_GB2312" w:cs="仿宋_GB2312"/>
          <w:sz w:val="32"/>
          <w:szCs w:val="32"/>
          <w:lang w:val="en-US" w:eastAsia="zh-CN"/>
        </w:rPr>
        <w:t>2038.27</w:t>
      </w:r>
      <w:r>
        <w:rPr>
          <w:rFonts w:hint="default" w:ascii="仿宋_GB2312" w:hAnsi="仿宋_GB2312" w:eastAsia="仿宋_GB2312" w:cs="仿宋_GB2312"/>
          <w:sz w:val="32"/>
          <w:szCs w:val="32"/>
          <w:lang w:val="en-US" w:eastAsia="zh-CN"/>
        </w:rPr>
        <w:t>万元，占本部门全部项目支出预算的</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%。（注：不含基本支出）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（五）重点行政事业性收费情况说明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本部门2022年无重点行政事业性收费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（六）国有资本经营预算财政拨款情况说明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本部门2022年无国有资本经营预算财政拨款安排的预算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（七）国有资产占有使用情况说明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截止2021年底，本部门固定资产总额</w:t>
      </w:r>
      <w:r>
        <w:rPr>
          <w:rFonts w:hint="eastAsia" w:ascii="仿宋_GB2312" w:hAnsi="仿宋_GB2312" w:eastAsia="仿宋_GB2312" w:cs="仿宋_GB2312"/>
          <w:sz w:val="32"/>
          <w:szCs w:val="32"/>
          <w:lang w:val="en-US" w:eastAsia="zh-CN"/>
        </w:rPr>
        <w:t>52.68</w:t>
      </w:r>
      <w:r>
        <w:rPr>
          <w:rFonts w:hint="default" w:ascii="仿宋_GB2312" w:hAnsi="仿宋_GB2312" w:eastAsia="仿宋_GB2312" w:cs="仿宋_GB2312"/>
          <w:sz w:val="32"/>
          <w:szCs w:val="32"/>
          <w:lang w:val="en-US" w:eastAsia="zh-CN"/>
        </w:rPr>
        <w:t>万元，其中：车辆</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万元；单位价值50万元以上的通用设备</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台（套）、</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万元，单位价值100万元以上的专用设备</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台（套）、</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其他事项说明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楷体_GB2312" w:hAnsi="楷体_GB2312" w:eastAsia="楷体_GB2312" w:cs="楷体_GB2312"/>
          <w:color w:val="FF0000"/>
          <w:sz w:val="32"/>
          <w:szCs w:val="32"/>
          <w:lang w:val="en-US" w:eastAsia="zh-CN"/>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仿宋_GB2312" w:eastAsia="仿宋_GB2312"/>
          <w:sz w:val="32"/>
          <w:szCs w:val="32"/>
        </w:rPr>
        <w:t>本单位无其他事项说明。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名词解释</w:t>
      </w:r>
    </w:p>
    <w:p>
      <w:pPr>
        <w:spacing w:line="480" w:lineRule="exact"/>
        <w:ind w:firstLine="643" w:firstLineChars="200"/>
        <w:rPr>
          <w:rFonts w:hint="eastAsia" w:ascii="仿宋_GB2312" w:hAnsi="Calibri" w:eastAsia="仿宋_GB2312"/>
          <w:sz w:val="32"/>
          <w:szCs w:val="32"/>
        </w:rPr>
      </w:pPr>
      <w:r>
        <w:rPr>
          <w:rFonts w:hint="eastAsia" w:ascii="仿宋_GB2312" w:hAnsi="Calibri" w:eastAsia="仿宋_GB2312"/>
          <w:b/>
          <w:sz w:val="32"/>
          <w:szCs w:val="32"/>
        </w:rPr>
        <w:t>预算：</w:t>
      </w:r>
      <w:r>
        <w:rPr>
          <w:rFonts w:hint="eastAsia" w:ascii="仿宋_GB2312" w:hAnsi="Calibri" w:eastAsia="仿宋_GB2312"/>
          <w:sz w:val="32"/>
          <w:szCs w:val="32"/>
        </w:rPr>
        <w:t>指遵循统筹兼顾、勤俭节约、量力而行、讲求绩效和收支平衡的原则编制，经法定程序审核批准的国家年度集中性财政收支计划。政府的全部收入和支出都应当纳入预算，地方各级预算一般不列赤字。</w:t>
      </w:r>
    </w:p>
    <w:p>
      <w:pPr>
        <w:spacing w:line="4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一般公共预算：</w:t>
      </w:r>
      <w:r>
        <w:rPr>
          <w:rFonts w:hint="eastAsia" w:ascii="仿宋_GB2312" w:hAnsi="Calibri" w:eastAsia="仿宋_GB2312"/>
          <w:sz w:val="32"/>
          <w:szCs w:val="32"/>
        </w:rPr>
        <w:t>对以税收为主体的财政收入，安排用于保障和改善民生、推动经济社会发展、维护国家安全、维持国家机构正常运转等方面的收支预算。</w:t>
      </w:r>
    </w:p>
    <w:p>
      <w:pPr>
        <w:spacing w:line="4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部门预算:</w:t>
      </w:r>
      <w:r>
        <w:rPr>
          <w:rFonts w:hint="eastAsia" w:ascii="仿宋_GB2312" w:hAnsi="Calibri" w:eastAsia="仿宋_GB2312"/>
          <w:sz w:val="32"/>
          <w:szCs w:val="32"/>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spacing w:line="48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 xml:space="preserve">政府采购: </w:t>
      </w:r>
      <w:r>
        <w:rPr>
          <w:rFonts w:hint="eastAsia" w:ascii="仿宋_GB2312" w:hAnsi="Calibri" w:eastAsia="仿宋_GB2312"/>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2022年部门预算报表</w:t>
      </w:r>
    </w:p>
    <w:p>
      <w:pPr>
        <w:widowControl/>
        <w:numPr>
          <w:ilvl w:val="0"/>
          <w:numId w:val="0"/>
        </w:numPr>
        <w:adjustRightInd w:val="0"/>
        <w:spacing w:line="560" w:lineRule="exact"/>
        <w:jc w:val="left"/>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 xml:space="preserve">    详见附件：</w:t>
      </w:r>
      <w:r>
        <w:rPr>
          <w:rFonts w:hint="default" w:ascii="仿宋_GB2312" w:hAnsi="仿宋_GB2312" w:eastAsia="仿宋_GB2312" w:cs="仿宋_GB2312"/>
          <w:sz w:val="32"/>
          <w:szCs w:val="32"/>
          <w:lang w:val="en-US" w:eastAsia="zh-CN"/>
        </w:rPr>
        <w:t>中关村科技园区丰台园社会事务服务中心</w:t>
      </w:r>
      <w:r>
        <w:rPr>
          <w:rFonts w:hint="eastAsia" w:ascii="仿宋_GB2312" w:hAnsi="宋体" w:eastAsia="仿宋_GB2312" w:cs="宋体"/>
          <w:color w:val="000000"/>
          <w:spacing w:val="15"/>
          <w:kern w:val="0"/>
          <w:sz w:val="32"/>
          <w:szCs w:val="32"/>
          <w:lang w:val="en-US" w:eastAsia="zh-CN"/>
        </w:rPr>
        <w:t>2022年部门预算报表</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sz w:val="32"/>
          <w:szCs w:val="32"/>
          <w:lang w:val="en-US" w:eastAsia="zh-C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60E44"/>
    <w:multiLevelType w:val="singleLevel"/>
    <w:tmpl w:val="B7460E44"/>
    <w:lvl w:ilvl="0" w:tentative="0">
      <w:start w:val="8"/>
      <w:numFmt w:val="chineseCounting"/>
      <w:suff w:val="nothing"/>
      <w:lvlText w:val="（%1）"/>
      <w:lvlJc w:val="left"/>
      <w:rPr>
        <w:rFonts w:hint="eastAsia"/>
      </w:rPr>
    </w:lvl>
  </w:abstractNum>
  <w:abstractNum w:abstractNumId="1">
    <w:nsid w:val="F1EA148E"/>
    <w:multiLevelType w:val="singleLevel"/>
    <w:tmpl w:val="F1EA148E"/>
    <w:lvl w:ilvl="0" w:tentative="0">
      <w:start w:val="2"/>
      <w:numFmt w:val="chineseCounting"/>
      <w:suff w:val="nothing"/>
      <w:lvlText w:val="（%1）"/>
      <w:lvlJc w:val="left"/>
      <w:rPr>
        <w:rFonts w:hint="eastAsia"/>
      </w:rPr>
    </w:lvl>
  </w:abstractNum>
  <w:abstractNum w:abstractNumId="2">
    <w:nsid w:val="2DD128F2"/>
    <w:multiLevelType w:val="singleLevel"/>
    <w:tmpl w:val="2DD128F2"/>
    <w:lvl w:ilvl="0" w:tentative="0">
      <w:start w:val="2"/>
      <w:numFmt w:val="chineseCounting"/>
      <w:suff w:val="nothing"/>
      <w:lvlText w:val="（%1）"/>
      <w:lvlJc w:val="left"/>
      <w:pPr>
        <w:ind w:left="-10"/>
      </w:pPr>
      <w:rPr>
        <w:rFonts w:hint="eastAsia"/>
        <w:color w:val="auto"/>
      </w:rPr>
    </w:lvl>
  </w:abstractNum>
  <w:abstractNum w:abstractNumId="3">
    <w:nsid w:val="4A3A52A5"/>
    <w:multiLevelType w:val="multilevel"/>
    <w:tmpl w:val="4A3A52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E56C1"/>
    <w:rsid w:val="06CA1566"/>
    <w:rsid w:val="06DE7D56"/>
    <w:rsid w:val="0E6D6439"/>
    <w:rsid w:val="0F6B4355"/>
    <w:rsid w:val="142C48E8"/>
    <w:rsid w:val="191C7D18"/>
    <w:rsid w:val="19B234C2"/>
    <w:rsid w:val="1A194442"/>
    <w:rsid w:val="1CBD7D2E"/>
    <w:rsid w:val="1CFF68F4"/>
    <w:rsid w:val="208E4F59"/>
    <w:rsid w:val="20A03A46"/>
    <w:rsid w:val="218E4270"/>
    <w:rsid w:val="21A32B83"/>
    <w:rsid w:val="24110F49"/>
    <w:rsid w:val="249D5B37"/>
    <w:rsid w:val="27BF16B4"/>
    <w:rsid w:val="28546FC0"/>
    <w:rsid w:val="2AAC6377"/>
    <w:rsid w:val="2B670EA3"/>
    <w:rsid w:val="2D3C05D1"/>
    <w:rsid w:val="2D97542A"/>
    <w:rsid w:val="2FE7105C"/>
    <w:rsid w:val="30B272DA"/>
    <w:rsid w:val="31713771"/>
    <w:rsid w:val="32C21411"/>
    <w:rsid w:val="35776221"/>
    <w:rsid w:val="373D475A"/>
    <w:rsid w:val="373F3050"/>
    <w:rsid w:val="3EBB0280"/>
    <w:rsid w:val="404A0308"/>
    <w:rsid w:val="4128254D"/>
    <w:rsid w:val="42133130"/>
    <w:rsid w:val="452408D9"/>
    <w:rsid w:val="47153A80"/>
    <w:rsid w:val="4A4273F5"/>
    <w:rsid w:val="4D7A636B"/>
    <w:rsid w:val="4E8423A4"/>
    <w:rsid w:val="4E8B1238"/>
    <w:rsid w:val="4FF4461E"/>
    <w:rsid w:val="501854BA"/>
    <w:rsid w:val="53147A40"/>
    <w:rsid w:val="54283BBD"/>
    <w:rsid w:val="5574205B"/>
    <w:rsid w:val="563C5B6F"/>
    <w:rsid w:val="56FE6DB7"/>
    <w:rsid w:val="58827E72"/>
    <w:rsid w:val="58F1632E"/>
    <w:rsid w:val="5E4C5812"/>
    <w:rsid w:val="5F5F4E5B"/>
    <w:rsid w:val="61CA1F99"/>
    <w:rsid w:val="62BB0239"/>
    <w:rsid w:val="636E7C04"/>
    <w:rsid w:val="665E4AEA"/>
    <w:rsid w:val="69901F0B"/>
    <w:rsid w:val="6C1A1E04"/>
    <w:rsid w:val="6D9D309E"/>
    <w:rsid w:val="6F172A4A"/>
    <w:rsid w:val="709C6698"/>
    <w:rsid w:val="71F96D06"/>
    <w:rsid w:val="72E519EE"/>
    <w:rsid w:val="73FD2592"/>
    <w:rsid w:val="7775298B"/>
    <w:rsid w:val="79B24D20"/>
    <w:rsid w:val="7A2E40B5"/>
    <w:rsid w:val="7FEBAC30"/>
    <w:rsid w:val="7FFB17A7"/>
    <w:rsid w:val="BEFFCF44"/>
    <w:rsid w:val="FFD773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List"/>
    <w:basedOn w:val="3"/>
    <w:qFormat/>
    <w:uiPriority w:val="0"/>
  </w:style>
  <w:style w:type="character" w:styleId="8">
    <w:name w:val="page number"/>
    <w:basedOn w:val="7"/>
    <w:qFormat/>
    <w:uiPriority w:val="0"/>
  </w:style>
  <w:style w:type="paragraph" w:customStyle="1" w:styleId="9">
    <w:name w:val="Index"/>
    <w:basedOn w:val="1"/>
    <w:qFormat/>
    <w:uiPriority w:val="0"/>
    <w:pPr>
      <w:widowControl w:val="0"/>
      <w:suppressLineNumbers/>
      <w:suppressAutoHyphens/>
    </w:pPr>
  </w:style>
  <w:style w:type="paragraph" w:customStyle="1" w:styleId="10">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character" w:customStyle="1" w:styleId="11">
    <w:name w:val="默认段落字体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user</dc:creator>
  <cp:lastModifiedBy>亚楠</cp:lastModifiedBy>
  <cp:lastPrinted>2021-12-27T18:28:00Z</cp:lastPrinted>
  <dcterms:modified xsi:type="dcterms:W3CDTF">2022-01-14T09:32:43Z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190AC482AC054F4EB4906A8CD02CFE2B</vt:lpwstr>
  </property>
</Properties>
</file>