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cs="宋体"/>
          <w:b/>
          <w:color w:val="000000"/>
          <w:spacing w:val="15"/>
          <w:kern w:val="0"/>
          <w:sz w:val="36"/>
          <w:szCs w:val="36"/>
        </w:rPr>
      </w:pPr>
    </w:p>
    <w:p>
      <w:pPr>
        <w:widowControl/>
        <w:spacing w:line="560" w:lineRule="exact"/>
        <w:jc w:val="center"/>
        <w:rPr>
          <w:rFonts w:hint="eastAsia" w:ascii="宋体" w:hAnsi="宋体" w:cs="宋体"/>
          <w:b/>
          <w:color w:val="000000"/>
          <w:spacing w:val="15"/>
          <w:kern w:val="0"/>
          <w:sz w:val="44"/>
          <w:szCs w:val="44"/>
        </w:rPr>
      </w:pPr>
      <w:r>
        <w:rPr>
          <w:rFonts w:hint="eastAsia" w:ascii="宋体" w:hAnsi="宋体" w:cs="宋体"/>
          <w:b/>
          <w:color w:val="000000"/>
          <w:spacing w:val="15"/>
          <w:kern w:val="0"/>
          <w:sz w:val="44"/>
          <w:szCs w:val="44"/>
        </w:rPr>
        <w:t>北京市丰台区南苑乡人民政府</w:t>
      </w:r>
    </w:p>
    <w:p>
      <w:pPr>
        <w:widowControl/>
        <w:spacing w:line="560" w:lineRule="exact"/>
        <w:jc w:val="center"/>
        <w:rPr>
          <w:rFonts w:ascii="宋体" w:hAnsi="宋体" w:cs="宋体"/>
          <w:b/>
          <w:color w:val="000000"/>
          <w:spacing w:val="15"/>
          <w:kern w:val="0"/>
          <w:sz w:val="44"/>
          <w:szCs w:val="44"/>
        </w:rPr>
      </w:pPr>
      <w:r>
        <w:rPr>
          <w:rFonts w:hint="eastAsia" w:ascii="宋体" w:hAnsi="宋体" w:cs="宋体"/>
          <w:b/>
          <w:color w:val="000000"/>
          <w:spacing w:val="15"/>
          <w:kern w:val="0"/>
          <w:sz w:val="44"/>
          <w:szCs w:val="44"/>
        </w:rPr>
        <w:t>2020</w:t>
      </w:r>
      <w:r>
        <w:rPr>
          <w:rFonts w:hint="eastAsia" w:cs="宋体"/>
          <w:b/>
          <w:color w:val="000000"/>
          <w:spacing w:val="15"/>
          <w:kern w:val="0"/>
          <w:sz w:val="44"/>
          <w:szCs w:val="44"/>
        </w:rPr>
        <w:t>年部门预算编制说明</w:t>
      </w:r>
    </w:p>
    <w:p>
      <w:pPr>
        <w:widowControl/>
        <w:spacing w:line="560" w:lineRule="exact"/>
        <w:jc w:val="left"/>
        <w:rPr>
          <w:rFonts w:ascii="宋体" w:hAnsi="宋体" w:cs="宋体"/>
          <w:color w:val="000000"/>
          <w:spacing w:val="15"/>
          <w:kern w:val="0"/>
          <w:sz w:val="32"/>
          <w:szCs w:val="32"/>
        </w:rPr>
      </w:pPr>
    </w:p>
    <w:p>
      <w:pPr>
        <w:keepNext w:val="0"/>
        <w:keepLines w:val="0"/>
        <w:pageBreakBefore w:val="0"/>
        <w:widowControl/>
        <w:kinsoku/>
        <w:wordWrap/>
        <w:overflowPunct/>
        <w:topLinePunct w:val="0"/>
        <w:autoSpaceDE/>
        <w:autoSpaceDN/>
        <w:bidi w:val="0"/>
        <w:adjustRightInd w:val="0"/>
        <w:snapToGrid/>
        <w:spacing w:line="560" w:lineRule="atLeast"/>
        <w:jc w:val="left"/>
        <w:textAlignment w:val="auto"/>
        <w:rPr>
          <w:rFonts w:ascii="仿宋_GB2312" w:hAnsi="宋体" w:eastAsia="仿宋_GB2312" w:cs="宋体"/>
          <w:b/>
          <w:color w:val="000000"/>
          <w:spacing w:val="15"/>
          <w:kern w:val="0"/>
          <w:sz w:val="32"/>
          <w:szCs w:val="32"/>
        </w:rPr>
      </w:pPr>
      <w:r>
        <w:rPr>
          <w:rFonts w:ascii="宋体" w:hAnsi="宋体" w:cs="宋体"/>
          <w:b/>
          <w:color w:val="000000"/>
          <w:spacing w:val="15"/>
          <w:kern w:val="0"/>
          <w:sz w:val="24"/>
        </w:rPr>
        <w:t xml:space="preserve"> </w:t>
      </w:r>
      <w:r>
        <w:rPr>
          <w:rFonts w:hint="eastAsia" w:ascii="黑体" w:hAnsi="宋体" w:eastAsia="黑体" w:cs="宋体"/>
          <w:b/>
          <w:color w:val="000000"/>
          <w:spacing w:val="15"/>
          <w:kern w:val="0"/>
          <w:sz w:val="32"/>
          <w:szCs w:val="32"/>
        </w:rPr>
        <w:t>一、</w:t>
      </w:r>
      <w:r>
        <w:rPr>
          <w:rFonts w:hint="eastAsia" w:ascii="仿宋_GB2312" w:hAnsi="宋体" w:eastAsia="仿宋_GB2312" w:cs="宋体"/>
          <w:b/>
          <w:color w:val="000000"/>
          <w:spacing w:val="15"/>
          <w:kern w:val="0"/>
          <w:sz w:val="32"/>
          <w:szCs w:val="32"/>
          <w:lang w:eastAsia="zh-CN"/>
        </w:rPr>
        <w:t>北京市丰台区南苑乡人民政府</w:t>
      </w:r>
      <w:r>
        <w:rPr>
          <w:rFonts w:hint="eastAsia" w:ascii="仿宋_GB2312" w:hAnsi="宋体" w:eastAsia="仿宋_GB2312" w:cs="宋体"/>
          <w:b/>
          <w:color w:val="000000"/>
          <w:spacing w:val="15"/>
          <w:kern w:val="0"/>
          <w:sz w:val="32"/>
          <w:szCs w:val="32"/>
        </w:rPr>
        <w:t>基本情况</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北京市丰台区南苑乡人民政府主要职责是：</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 贯彻执行党的路线、方针、政策和国家的法律、法规；执行本级人民代表大会的决议和上级国家行政机关的决定和命令。</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 负责制定本乡经济社会发展规划并组织实施；负责本乡产业结构调整、投资项目引进的指导与服务； 负责本乡企业管理与服务、科技创新、信息产业发展。</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 负责本乡财政预算、决算和收支管理，协助组织税收、内部审计、农村金融管理。</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4. 负责农村改革发展、农村土地承包管理、农民负担监督管理、农村集体资产财务、村级账务管理和审计监督等工作。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 负责统筹、协调、监督本乡安全工作，加强社会管理、社会治安综合治理、安全生产、民防、交通安全、 消防安全、流动人口和出租房屋的管理工作。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6. 负责乡村建设发展、市政基础设施建设与管理、市容环境卫生管理、违法建设查处、环境保护工作。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7. 负责人口计划生育管理工作。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8. 负责社会保障、社会福利、拥军优属、殡葬管理等社会事务管理工作；负责辖区内劳动者权益保护工作；负责民族、宗教、侨务工作。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9. 负责开展教育、科普、卫生、体育以及群众性文化工作。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10. 负责农业、林业、水务、畜牧产业的管理工作；负责旅游、防汛抗旱、新农村建设工作。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11. 负责社区建设、发展、管理与服务工作。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12. 负责村民（居民）自治组织和村级政权建设。</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13. 负责民事调解和普法教育工作。</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14. 办理人民群众来信来访，反映人民群众的意见和要求。</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15. 承办区政府交办的其他事项。</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共包含行政单位</w:t>
      </w:r>
      <w:r>
        <w:rPr>
          <w:rFonts w:hint="eastAsia" w:ascii="仿宋_GB2312" w:hAnsi="宋体" w:eastAsia="仿宋_GB2312" w:cs="宋体"/>
          <w:color w:val="000000"/>
          <w:spacing w:val="15"/>
          <w:kern w:val="0"/>
          <w:sz w:val="32"/>
          <w:szCs w:val="32"/>
          <w:lang w:val="en-US" w:eastAsia="zh-CN"/>
        </w:rPr>
        <w:t>1</w:t>
      </w:r>
      <w:r>
        <w:rPr>
          <w:rFonts w:hint="eastAsia" w:ascii="仿宋_GB2312" w:hAnsi="宋体" w:eastAsia="仿宋_GB2312" w:cs="宋体"/>
          <w:color w:val="000000"/>
          <w:spacing w:val="15"/>
          <w:kern w:val="0"/>
          <w:sz w:val="32"/>
          <w:szCs w:val="32"/>
        </w:rPr>
        <w:t>个（含行政执法机构</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个），事业单位</w:t>
      </w:r>
      <w:r>
        <w:rPr>
          <w:rFonts w:hint="eastAsia" w:ascii="仿宋_GB2312" w:hAnsi="宋体" w:eastAsia="仿宋_GB2312" w:cs="宋体"/>
          <w:color w:val="000000"/>
          <w:spacing w:val="15"/>
          <w:kern w:val="0"/>
          <w:sz w:val="32"/>
          <w:szCs w:val="32"/>
          <w:lang w:val="en-US" w:eastAsia="zh-CN"/>
        </w:rPr>
        <w:t>4</w:t>
      </w:r>
      <w:r>
        <w:rPr>
          <w:rFonts w:hint="eastAsia" w:ascii="仿宋_GB2312" w:hAnsi="宋体" w:eastAsia="仿宋_GB2312" w:cs="宋体"/>
          <w:color w:val="000000"/>
          <w:spacing w:val="15"/>
          <w:kern w:val="0"/>
          <w:sz w:val="32"/>
          <w:szCs w:val="32"/>
        </w:rPr>
        <w:t>个。截至2019年底，共有行政编制</w:t>
      </w:r>
      <w:r>
        <w:rPr>
          <w:rFonts w:hint="eastAsia" w:ascii="仿宋_GB2312" w:hAnsi="宋体" w:eastAsia="仿宋_GB2312" w:cs="宋体"/>
          <w:color w:val="000000"/>
          <w:spacing w:val="15"/>
          <w:kern w:val="0"/>
          <w:sz w:val="32"/>
          <w:szCs w:val="32"/>
          <w:lang w:val="en-US" w:eastAsia="zh-CN"/>
        </w:rPr>
        <w:t>94</w:t>
      </w:r>
      <w:r>
        <w:rPr>
          <w:rFonts w:hint="eastAsia" w:ascii="仿宋_GB2312" w:hAnsi="宋体" w:eastAsia="仿宋_GB2312" w:cs="宋体"/>
          <w:color w:val="000000"/>
          <w:spacing w:val="15"/>
          <w:kern w:val="0"/>
          <w:sz w:val="32"/>
          <w:szCs w:val="32"/>
        </w:rPr>
        <w:t>人，实际</w:t>
      </w:r>
      <w:r>
        <w:rPr>
          <w:rFonts w:hint="eastAsia" w:ascii="仿宋_GB2312" w:hAnsi="宋体" w:eastAsia="仿宋_GB2312" w:cs="宋体"/>
          <w:color w:val="000000"/>
          <w:spacing w:val="15"/>
          <w:kern w:val="0"/>
          <w:sz w:val="32"/>
          <w:szCs w:val="32"/>
          <w:lang w:val="en-US" w:eastAsia="zh-CN"/>
        </w:rPr>
        <w:t>88</w:t>
      </w:r>
      <w:r>
        <w:rPr>
          <w:rFonts w:hint="eastAsia" w:ascii="仿宋_GB2312" w:hAnsi="宋体" w:eastAsia="仿宋_GB2312" w:cs="宋体"/>
          <w:color w:val="000000"/>
          <w:spacing w:val="15"/>
          <w:kern w:val="0"/>
          <w:sz w:val="32"/>
          <w:szCs w:val="32"/>
        </w:rPr>
        <w:t>人；事业编制</w:t>
      </w:r>
      <w:r>
        <w:rPr>
          <w:rFonts w:hint="eastAsia" w:ascii="仿宋_GB2312" w:hAnsi="宋体" w:eastAsia="仿宋_GB2312" w:cs="宋体"/>
          <w:color w:val="000000"/>
          <w:spacing w:val="15"/>
          <w:kern w:val="0"/>
          <w:sz w:val="32"/>
          <w:szCs w:val="32"/>
          <w:lang w:val="en-US" w:eastAsia="zh-CN"/>
        </w:rPr>
        <w:t>57</w:t>
      </w:r>
      <w:r>
        <w:rPr>
          <w:rFonts w:hint="eastAsia" w:ascii="仿宋_GB2312" w:hAnsi="宋体" w:eastAsia="仿宋_GB2312" w:cs="宋体"/>
          <w:color w:val="000000"/>
          <w:spacing w:val="15"/>
          <w:kern w:val="0"/>
          <w:sz w:val="32"/>
          <w:szCs w:val="32"/>
        </w:rPr>
        <w:t>人，实际</w:t>
      </w:r>
      <w:r>
        <w:rPr>
          <w:rFonts w:hint="eastAsia" w:ascii="仿宋_GB2312" w:hAnsi="宋体" w:eastAsia="仿宋_GB2312" w:cs="宋体"/>
          <w:color w:val="000000"/>
          <w:spacing w:val="15"/>
          <w:kern w:val="0"/>
          <w:sz w:val="32"/>
          <w:szCs w:val="32"/>
          <w:lang w:val="en-US" w:eastAsia="zh-CN"/>
        </w:rPr>
        <w:t>43</w:t>
      </w:r>
      <w:r>
        <w:rPr>
          <w:rFonts w:hint="eastAsia" w:ascii="仿宋_GB2312" w:hAnsi="宋体" w:eastAsia="仿宋_GB2312" w:cs="宋体"/>
          <w:color w:val="000000"/>
          <w:spacing w:val="15"/>
          <w:kern w:val="0"/>
          <w:sz w:val="32"/>
          <w:szCs w:val="32"/>
        </w:rPr>
        <w:t>人；离退休人员</w:t>
      </w:r>
      <w:r>
        <w:rPr>
          <w:rFonts w:hint="eastAsia" w:ascii="仿宋_GB2312" w:hAnsi="宋体" w:eastAsia="仿宋_GB2312" w:cs="宋体"/>
          <w:color w:val="auto"/>
          <w:spacing w:val="15"/>
          <w:kern w:val="0"/>
          <w:sz w:val="32"/>
          <w:szCs w:val="32"/>
          <w:lang w:val="en-US" w:eastAsia="zh-CN"/>
        </w:rPr>
        <w:t>51</w:t>
      </w:r>
      <w:r>
        <w:rPr>
          <w:rFonts w:hint="eastAsia" w:ascii="仿宋_GB2312" w:hAnsi="宋体" w:eastAsia="仿宋_GB2312" w:cs="宋体"/>
          <w:color w:val="000000"/>
          <w:spacing w:val="15"/>
          <w:kern w:val="0"/>
          <w:sz w:val="32"/>
          <w:szCs w:val="32"/>
        </w:rPr>
        <w:t>人。</w:t>
      </w:r>
    </w:p>
    <w:p>
      <w:pPr>
        <w:keepNext w:val="0"/>
        <w:keepLines w:val="0"/>
        <w:pageBreakBefore w:val="0"/>
        <w:widowControl/>
        <w:kinsoku/>
        <w:wordWrap/>
        <w:overflowPunct/>
        <w:topLinePunct w:val="0"/>
        <w:autoSpaceDE/>
        <w:autoSpaceDN/>
        <w:bidi w:val="0"/>
        <w:adjustRightInd w:val="0"/>
        <w:snapToGrid/>
        <w:spacing w:line="560" w:lineRule="atLeast"/>
        <w:ind w:firstLine="703" w:firstLineChars="200"/>
        <w:jc w:val="left"/>
        <w:textAlignment w:val="auto"/>
        <w:rPr>
          <w:rFonts w:hint="eastAsia" w:ascii="仿宋_GB2312" w:hAnsi="宋体" w:eastAsia="仿宋_GB2312" w:cs="宋体"/>
          <w:b/>
          <w:color w:val="000000"/>
          <w:spacing w:val="15"/>
          <w:kern w:val="0"/>
          <w:sz w:val="32"/>
          <w:szCs w:val="32"/>
        </w:rPr>
      </w:pPr>
      <w:r>
        <w:rPr>
          <w:rFonts w:hint="eastAsia" w:ascii="黑体" w:hAnsi="宋体" w:eastAsia="黑体" w:cs="宋体"/>
          <w:b/>
          <w:color w:val="000000"/>
          <w:spacing w:val="15"/>
          <w:kern w:val="0"/>
          <w:sz w:val="32"/>
          <w:szCs w:val="32"/>
        </w:rPr>
        <w:t>二、2020年收入及支出总体情况</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2020年部门收入预算10847</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6</w:t>
      </w:r>
      <w:r>
        <w:rPr>
          <w:rFonts w:hint="eastAsia" w:ascii="仿宋_GB2312" w:hAnsi="宋体" w:eastAsia="仿宋_GB2312" w:cs="宋体"/>
          <w:color w:val="000000"/>
          <w:spacing w:val="15"/>
          <w:kern w:val="0"/>
          <w:sz w:val="32"/>
          <w:szCs w:val="32"/>
          <w:lang w:val="en-US" w:eastAsia="zh-CN"/>
        </w:rPr>
        <w:t>6</w:t>
      </w:r>
      <w:r>
        <w:rPr>
          <w:rFonts w:hint="eastAsia" w:ascii="仿宋_GB2312" w:hAnsi="宋体" w:eastAsia="仿宋_GB2312" w:cs="宋体"/>
          <w:color w:val="000000"/>
          <w:spacing w:val="15"/>
          <w:kern w:val="0"/>
          <w:sz w:val="32"/>
          <w:szCs w:val="32"/>
        </w:rPr>
        <w:t>万元，同比2019年减少</w:t>
      </w:r>
      <w:r>
        <w:rPr>
          <w:rFonts w:hint="eastAsia" w:ascii="仿宋_GB2312" w:hAnsi="宋体" w:eastAsia="仿宋_GB2312" w:cs="宋体"/>
          <w:color w:val="000000"/>
          <w:spacing w:val="15"/>
          <w:kern w:val="0"/>
          <w:sz w:val="32"/>
          <w:szCs w:val="32"/>
          <w:lang w:val="en-US" w:eastAsia="zh-CN"/>
        </w:rPr>
        <w:t>2362.04</w:t>
      </w:r>
      <w:r>
        <w:rPr>
          <w:rFonts w:hint="eastAsia" w:ascii="仿宋_GB2312" w:hAnsi="宋体" w:eastAsia="仿宋_GB2312" w:cs="宋体"/>
          <w:color w:val="000000"/>
          <w:spacing w:val="15"/>
          <w:kern w:val="0"/>
          <w:sz w:val="32"/>
          <w:szCs w:val="32"/>
        </w:rPr>
        <w:t>万元，减少</w:t>
      </w:r>
      <w:r>
        <w:rPr>
          <w:rFonts w:hint="eastAsia" w:ascii="仿宋_GB2312" w:hAnsi="宋体" w:eastAsia="仿宋_GB2312" w:cs="宋体"/>
          <w:color w:val="000000"/>
          <w:spacing w:val="15"/>
          <w:kern w:val="0"/>
          <w:sz w:val="32"/>
          <w:szCs w:val="32"/>
          <w:lang w:val="en-US" w:eastAsia="zh-CN"/>
        </w:rPr>
        <w:t>17.88</w:t>
      </w:r>
      <w:r>
        <w:rPr>
          <w:rFonts w:hint="eastAsia" w:ascii="仿宋_GB2312" w:hAnsi="宋体" w:eastAsia="仿宋_GB2312" w:cs="宋体"/>
          <w:color w:val="000000"/>
          <w:spacing w:val="15"/>
          <w:kern w:val="0"/>
          <w:sz w:val="32"/>
          <w:szCs w:val="32"/>
        </w:rPr>
        <w:t>%，其中：财政拨款</w:t>
      </w:r>
      <w:r>
        <w:rPr>
          <w:rFonts w:hint="eastAsia" w:ascii="仿宋_GB2312" w:hAnsi="宋体" w:eastAsia="仿宋_GB2312" w:cs="宋体"/>
          <w:color w:val="000000"/>
          <w:spacing w:val="15"/>
          <w:kern w:val="0"/>
          <w:sz w:val="32"/>
          <w:szCs w:val="32"/>
          <w:lang w:val="en-US" w:eastAsia="zh-CN"/>
        </w:rPr>
        <w:t>10480.10</w:t>
      </w:r>
      <w:r>
        <w:rPr>
          <w:rFonts w:hint="eastAsia" w:ascii="仿宋_GB2312" w:hAnsi="宋体" w:eastAsia="仿宋_GB2312" w:cs="宋体"/>
          <w:color w:val="000000"/>
          <w:spacing w:val="15"/>
          <w:kern w:val="0"/>
          <w:sz w:val="32"/>
          <w:szCs w:val="32"/>
        </w:rPr>
        <w:t>万元，上级补助收入</w:t>
      </w:r>
      <w:r>
        <w:rPr>
          <w:rFonts w:hint="eastAsia" w:ascii="仿宋_GB2312" w:hAnsi="宋体" w:eastAsia="仿宋_GB2312" w:cs="宋体"/>
          <w:color w:val="000000"/>
          <w:spacing w:val="15"/>
          <w:kern w:val="0"/>
          <w:sz w:val="32"/>
          <w:szCs w:val="32"/>
          <w:lang w:val="en-US" w:eastAsia="zh-CN"/>
        </w:rPr>
        <w:t>0.00</w:t>
      </w:r>
      <w:r>
        <w:rPr>
          <w:rFonts w:hint="eastAsia" w:ascii="仿宋_GB2312" w:hAnsi="宋体" w:eastAsia="仿宋_GB2312" w:cs="宋体"/>
          <w:color w:val="000000"/>
          <w:spacing w:val="15"/>
          <w:kern w:val="0"/>
          <w:sz w:val="32"/>
          <w:szCs w:val="32"/>
        </w:rPr>
        <w:t>万元，事业收入</w:t>
      </w:r>
      <w:r>
        <w:rPr>
          <w:rFonts w:hint="eastAsia" w:ascii="仿宋_GB2312" w:hAnsi="宋体" w:eastAsia="仿宋_GB2312" w:cs="宋体"/>
          <w:color w:val="000000"/>
          <w:spacing w:val="15"/>
          <w:kern w:val="0"/>
          <w:sz w:val="32"/>
          <w:szCs w:val="32"/>
          <w:lang w:val="en-US" w:eastAsia="zh-CN"/>
        </w:rPr>
        <w:t>0.00</w:t>
      </w:r>
      <w:r>
        <w:rPr>
          <w:rFonts w:hint="eastAsia" w:ascii="仿宋_GB2312" w:hAnsi="宋体" w:eastAsia="仿宋_GB2312" w:cs="宋体"/>
          <w:color w:val="000000"/>
          <w:spacing w:val="15"/>
          <w:kern w:val="0"/>
          <w:sz w:val="32"/>
          <w:szCs w:val="32"/>
        </w:rPr>
        <w:t>万元，经营收入</w:t>
      </w:r>
      <w:r>
        <w:rPr>
          <w:rFonts w:hint="eastAsia" w:ascii="仿宋_GB2312" w:hAnsi="宋体" w:eastAsia="仿宋_GB2312" w:cs="宋体"/>
          <w:color w:val="000000"/>
          <w:spacing w:val="15"/>
          <w:kern w:val="0"/>
          <w:sz w:val="32"/>
          <w:szCs w:val="32"/>
          <w:lang w:val="en-US" w:eastAsia="zh-CN"/>
        </w:rPr>
        <w:t>0.00</w:t>
      </w:r>
      <w:r>
        <w:rPr>
          <w:rFonts w:hint="eastAsia" w:ascii="仿宋_GB2312" w:hAnsi="宋体" w:eastAsia="仿宋_GB2312" w:cs="宋体"/>
          <w:color w:val="000000"/>
          <w:spacing w:val="15"/>
          <w:kern w:val="0"/>
          <w:sz w:val="32"/>
          <w:szCs w:val="32"/>
        </w:rPr>
        <w:t>万元，附属单位缴款</w:t>
      </w:r>
      <w:r>
        <w:rPr>
          <w:rFonts w:hint="eastAsia" w:ascii="仿宋_GB2312" w:hAnsi="宋体" w:eastAsia="仿宋_GB2312" w:cs="宋体"/>
          <w:color w:val="000000"/>
          <w:spacing w:val="15"/>
          <w:kern w:val="0"/>
          <w:sz w:val="32"/>
          <w:szCs w:val="32"/>
          <w:lang w:val="en-US" w:eastAsia="zh-CN"/>
        </w:rPr>
        <w:t>0.00</w:t>
      </w:r>
      <w:r>
        <w:rPr>
          <w:rFonts w:hint="eastAsia" w:ascii="仿宋_GB2312" w:hAnsi="宋体" w:eastAsia="仿宋_GB2312" w:cs="宋体"/>
          <w:color w:val="000000"/>
          <w:spacing w:val="15"/>
          <w:kern w:val="0"/>
          <w:sz w:val="32"/>
          <w:szCs w:val="32"/>
        </w:rPr>
        <w:t>万元，其他收入</w:t>
      </w:r>
      <w:r>
        <w:rPr>
          <w:rFonts w:hint="eastAsia" w:ascii="仿宋_GB2312" w:hAnsi="宋体" w:eastAsia="仿宋_GB2312" w:cs="宋体"/>
          <w:color w:val="000000"/>
          <w:spacing w:val="15"/>
          <w:kern w:val="0"/>
          <w:sz w:val="32"/>
          <w:szCs w:val="32"/>
          <w:lang w:val="en-US" w:eastAsia="zh-CN"/>
        </w:rPr>
        <w:t>0.00</w:t>
      </w:r>
      <w:r>
        <w:rPr>
          <w:rFonts w:hint="eastAsia" w:ascii="仿宋_GB2312" w:hAnsi="宋体" w:eastAsia="仿宋_GB2312" w:cs="宋体"/>
          <w:color w:val="000000"/>
          <w:spacing w:val="15"/>
          <w:kern w:val="0"/>
          <w:sz w:val="32"/>
          <w:szCs w:val="32"/>
        </w:rPr>
        <w:t>万元，用事业基金弥补收支差额</w:t>
      </w:r>
      <w:r>
        <w:rPr>
          <w:rFonts w:hint="eastAsia" w:ascii="仿宋_GB2312" w:hAnsi="宋体" w:eastAsia="仿宋_GB2312" w:cs="宋体"/>
          <w:color w:val="000000"/>
          <w:spacing w:val="15"/>
          <w:kern w:val="0"/>
          <w:sz w:val="32"/>
          <w:szCs w:val="32"/>
          <w:lang w:val="en-US" w:eastAsia="zh-CN"/>
        </w:rPr>
        <w:t>0.00</w:t>
      </w:r>
      <w:r>
        <w:rPr>
          <w:rFonts w:hint="eastAsia" w:ascii="仿宋_GB2312" w:hAnsi="宋体" w:eastAsia="仿宋_GB2312" w:cs="宋体"/>
          <w:color w:val="000000"/>
          <w:spacing w:val="15"/>
          <w:kern w:val="0"/>
          <w:sz w:val="32"/>
          <w:szCs w:val="32"/>
        </w:rPr>
        <w:t>万元，上年结转和结余</w:t>
      </w:r>
      <w:r>
        <w:rPr>
          <w:rFonts w:hint="eastAsia" w:ascii="仿宋_GB2312" w:hAnsi="宋体" w:eastAsia="仿宋_GB2312" w:cs="宋体"/>
          <w:color w:val="000000"/>
          <w:spacing w:val="15"/>
          <w:kern w:val="0"/>
          <w:sz w:val="32"/>
          <w:szCs w:val="32"/>
          <w:lang w:val="en-US" w:eastAsia="zh-CN"/>
        </w:rPr>
        <w:t>367.56</w:t>
      </w:r>
      <w:r>
        <w:rPr>
          <w:rFonts w:hint="eastAsia" w:ascii="仿宋_GB2312" w:hAnsi="宋体" w:eastAsia="仿宋_GB2312" w:cs="宋体"/>
          <w:color w:val="000000"/>
          <w:spacing w:val="15"/>
          <w:kern w:val="0"/>
          <w:sz w:val="32"/>
          <w:szCs w:val="32"/>
        </w:rPr>
        <w:t>万元。</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2020年部门支出预算10847</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6</w:t>
      </w:r>
      <w:r>
        <w:rPr>
          <w:rFonts w:hint="eastAsia" w:ascii="仿宋_GB2312" w:hAnsi="宋体" w:eastAsia="仿宋_GB2312" w:cs="宋体"/>
          <w:color w:val="000000"/>
          <w:spacing w:val="15"/>
          <w:kern w:val="0"/>
          <w:sz w:val="32"/>
          <w:szCs w:val="32"/>
          <w:lang w:val="en-US" w:eastAsia="zh-CN"/>
        </w:rPr>
        <w:t>6</w:t>
      </w:r>
      <w:r>
        <w:rPr>
          <w:rFonts w:hint="eastAsia" w:ascii="仿宋_GB2312" w:hAnsi="宋体" w:eastAsia="仿宋_GB2312" w:cs="宋体"/>
          <w:color w:val="000000"/>
          <w:spacing w:val="15"/>
          <w:kern w:val="0"/>
          <w:sz w:val="32"/>
          <w:szCs w:val="32"/>
        </w:rPr>
        <w:t>万元，同比2019年减少</w:t>
      </w:r>
      <w:r>
        <w:rPr>
          <w:rFonts w:hint="eastAsia" w:ascii="仿宋_GB2312" w:hAnsi="宋体" w:eastAsia="仿宋_GB2312" w:cs="宋体"/>
          <w:color w:val="000000"/>
          <w:spacing w:val="15"/>
          <w:kern w:val="0"/>
          <w:sz w:val="32"/>
          <w:szCs w:val="32"/>
          <w:lang w:val="en-US" w:eastAsia="zh-CN"/>
        </w:rPr>
        <w:t>2362.04</w:t>
      </w:r>
      <w:r>
        <w:rPr>
          <w:rFonts w:hint="eastAsia" w:ascii="仿宋_GB2312" w:hAnsi="宋体" w:eastAsia="仿宋_GB2312" w:cs="宋体"/>
          <w:color w:val="000000"/>
          <w:spacing w:val="15"/>
          <w:kern w:val="0"/>
          <w:sz w:val="32"/>
          <w:szCs w:val="32"/>
        </w:rPr>
        <w:t>万元，减少</w:t>
      </w:r>
      <w:r>
        <w:rPr>
          <w:rFonts w:hint="eastAsia" w:ascii="仿宋_GB2312" w:hAnsi="宋体" w:eastAsia="仿宋_GB2312" w:cs="宋体"/>
          <w:color w:val="000000"/>
          <w:spacing w:val="15"/>
          <w:kern w:val="0"/>
          <w:sz w:val="32"/>
          <w:szCs w:val="32"/>
          <w:lang w:val="en-US" w:eastAsia="zh-CN"/>
        </w:rPr>
        <w:t>17.88</w:t>
      </w:r>
      <w:r>
        <w:rPr>
          <w:rFonts w:hint="eastAsia" w:ascii="仿宋_GB2312" w:hAnsi="宋体" w:eastAsia="仿宋_GB2312" w:cs="宋体"/>
          <w:color w:val="000000"/>
          <w:spacing w:val="15"/>
          <w:kern w:val="0"/>
          <w:sz w:val="32"/>
          <w:szCs w:val="32"/>
        </w:rPr>
        <w:t>%，其中基本支出预算5009</w:t>
      </w:r>
      <w:r>
        <w:rPr>
          <w:rFonts w:hint="eastAsia" w:ascii="仿宋_GB2312" w:hAnsi="宋体" w:eastAsia="仿宋_GB2312" w:cs="宋体"/>
          <w:color w:val="000000"/>
          <w:spacing w:val="15"/>
          <w:kern w:val="0"/>
          <w:sz w:val="32"/>
          <w:szCs w:val="32"/>
          <w:lang w:val="en-US" w:eastAsia="zh-CN"/>
        </w:rPr>
        <w:t>.90</w:t>
      </w:r>
      <w:r>
        <w:rPr>
          <w:rFonts w:hint="eastAsia" w:ascii="仿宋_GB2312" w:hAnsi="宋体" w:eastAsia="仿宋_GB2312" w:cs="宋体"/>
          <w:color w:val="000000"/>
          <w:spacing w:val="15"/>
          <w:kern w:val="0"/>
          <w:sz w:val="32"/>
          <w:szCs w:val="32"/>
        </w:rPr>
        <w:t>万元，项目支出预算5837</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76万元。按支出功能分类，一般公共服务支出</w:t>
      </w:r>
      <w:r>
        <w:rPr>
          <w:rFonts w:hint="eastAsia" w:ascii="仿宋_GB2312" w:hAnsi="宋体" w:eastAsia="仿宋_GB2312" w:cs="宋体"/>
          <w:color w:val="000000"/>
          <w:spacing w:val="15"/>
          <w:kern w:val="0"/>
          <w:sz w:val="32"/>
          <w:szCs w:val="32"/>
        </w:rPr>
        <w:tab/>
      </w:r>
      <w:r>
        <w:rPr>
          <w:rFonts w:hint="eastAsia" w:ascii="仿宋_GB2312" w:hAnsi="宋体" w:eastAsia="仿宋_GB2312" w:cs="宋体"/>
          <w:color w:val="000000"/>
          <w:spacing w:val="15"/>
          <w:kern w:val="0"/>
          <w:sz w:val="32"/>
          <w:szCs w:val="32"/>
        </w:rPr>
        <w:t>6348.4</w:t>
      </w:r>
      <w:r>
        <w:rPr>
          <w:rFonts w:hint="eastAsia" w:ascii="仿宋_GB2312" w:hAnsi="宋体" w:eastAsia="仿宋_GB2312" w:cs="宋体"/>
          <w:color w:val="000000"/>
          <w:spacing w:val="15"/>
          <w:kern w:val="0"/>
          <w:sz w:val="32"/>
          <w:szCs w:val="32"/>
          <w:lang w:val="en-US" w:eastAsia="zh-CN"/>
        </w:rPr>
        <w:t>6</w:t>
      </w:r>
      <w:r>
        <w:rPr>
          <w:rFonts w:hint="eastAsia" w:ascii="仿宋_GB2312" w:hAnsi="宋体" w:eastAsia="仿宋_GB2312" w:cs="宋体"/>
          <w:color w:val="000000"/>
          <w:spacing w:val="15"/>
          <w:kern w:val="0"/>
          <w:sz w:val="32"/>
          <w:szCs w:val="32"/>
        </w:rPr>
        <w:t>万元</w:t>
      </w:r>
      <w:r>
        <w:rPr>
          <w:rFonts w:hint="eastAsia" w:ascii="仿宋_GB2312" w:hAnsi="宋体" w:eastAsia="仿宋_GB2312" w:cs="宋体"/>
          <w:color w:val="000000"/>
          <w:spacing w:val="15"/>
          <w:kern w:val="0"/>
          <w:sz w:val="32"/>
          <w:szCs w:val="32"/>
          <w:lang w:eastAsia="zh-CN"/>
        </w:rPr>
        <w:t>，</w:t>
      </w:r>
      <w:r>
        <w:rPr>
          <w:rFonts w:hint="eastAsia" w:ascii="仿宋_GB2312" w:hAnsi="宋体" w:eastAsia="仿宋_GB2312" w:cs="宋体"/>
          <w:color w:val="000000"/>
          <w:spacing w:val="15"/>
          <w:kern w:val="0"/>
          <w:sz w:val="32"/>
          <w:szCs w:val="32"/>
        </w:rPr>
        <w:t>公共安全1</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5</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lang w:eastAsia="zh-CN"/>
        </w:rPr>
        <w:t>万元，</w:t>
      </w:r>
      <w:r>
        <w:rPr>
          <w:rFonts w:hint="eastAsia" w:ascii="仿宋_GB2312" w:hAnsi="宋体" w:eastAsia="仿宋_GB2312" w:cs="宋体"/>
          <w:color w:val="000000"/>
          <w:spacing w:val="15"/>
          <w:kern w:val="0"/>
          <w:sz w:val="32"/>
          <w:szCs w:val="32"/>
        </w:rPr>
        <w:t>教育4</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8</w:t>
      </w:r>
      <w:r>
        <w:rPr>
          <w:rFonts w:hint="eastAsia" w:ascii="仿宋_GB2312" w:hAnsi="宋体" w:eastAsia="仿宋_GB2312" w:cs="宋体"/>
          <w:color w:val="000000"/>
          <w:spacing w:val="15"/>
          <w:kern w:val="0"/>
          <w:sz w:val="32"/>
          <w:szCs w:val="32"/>
          <w:lang w:val="en-US" w:eastAsia="zh-CN"/>
        </w:rPr>
        <w:t>2万元，</w:t>
      </w:r>
      <w:r>
        <w:rPr>
          <w:rFonts w:hint="eastAsia" w:ascii="仿宋_GB2312" w:hAnsi="宋体" w:eastAsia="仿宋_GB2312" w:cs="宋体"/>
          <w:color w:val="000000"/>
          <w:spacing w:val="15"/>
          <w:kern w:val="0"/>
          <w:sz w:val="32"/>
          <w:szCs w:val="32"/>
        </w:rPr>
        <w:t>文化体育与</w:t>
      </w:r>
      <w:r>
        <w:rPr>
          <w:rFonts w:hint="eastAsia" w:ascii="仿宋_GB2312" w:hAnsi="宋体" w:eastAsia="仿宋_GB2312" w:cs="宋体"/>
          <w:color w:val="000000"/>
          <w:spacing w:val="15"/>
          <w:kern w:val="0"/>
          <w:sz w:val="32"/>
          <w:szCs w:val="32"/>
          <w:lang w:eastAsia="zh-CN"/>
        </w:rPr>
        <w:t>传媒</w:t>
      </w:r>
      <w:r>
        <w:rPr>
          <w:rFonts w:hint="eastAsia" w:ascii="仿宋_GB2312" w:hAnsi="宋体" w:eastAsia="仿宋_GB2312" w:cs="宋体"/>
          <w:color w:val="000000"/>
          <w:spacing w:val="15"/>
          <w:kern w:val="0"/>
          <w:sz w:val="32"/>
          <w:szCs w:val="32"/>
        </w:rPr>
        <w:t>74</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36</w:t>
      </w:r>
      <w:r>
        <w:rPr>
          <w:rFonts w:hint="eastAsia" w:ascii="仿宋_GB2312" w:hAnsi="宋体" w:eastAsia="仿宋_GB2312" w:cs="宋体"/>
          <w:color w:val="000000"/>
          <w:spacing w:val="15"/>
          <w:kern w:val="0"/>
          <w:sz w:val="32"/>
          <w:szCs w:val="32"/>
          <w:lang w:eastAsia="zh-CN"/>
        </w:rPr>
        <w:t>万元，</w:t>
      </w:r>
      <w:r>
        <w:rPr>
          <w:rFonts w:hint="eastAsia" w:ascii="仿宋_GB2312" w:hAnsi="宋体" w:eastAsia="仿宋_GB2312" w:cs="宋体"/>
          <w:color w:val="000000"/>
          <w:spacing w:val="15"/>
          <w:kern w:val="0"/>
          <w:sz w:val="32"/>
          <w:szCs w:val="32"/>
        </w:rPr>
        <w:t>社会保障和就业2195</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34</w:t>
      </w:r>
      <w:r>
        <w:rPr>
          <w:rFonts w:hint="eastAsia" w:ascii="仿宋_GB2312" w:hAnsi="宋体" w:eastAsia="仿宋_GB2312" w:cs="宋体"/>
          <w:color w:val="000000"/>
          <w:spacing w:val="15"/>
          <w:kern w:val="0"/>
          <w:sz w:val="32"/>
          <w:szCs w:val="32"/>
          <w:lang w:eastAsia="zh-CN"/>
        </w:rPr>
        <w:t>万元，</w:t>
      </w:r>
      <w:r>
        <w:rPr>
          <w:rFonts w:hint="eastAsia" w:ascii="仿宋_GB2312" w:hAnsi="宋体" w:eastAsia="仿宋_GB2312" w:cs="宋体"/>
          <w:color w:val="000000"/>
          <w:spacing w:val="15"/>
          <w:kern w:val="0"/>
          <w:sz w:val="32"/>
          <w:szCs w:val="32"/>
        </w:rPr>
        <w:t>医疗卫生与计划生育</w:t>
      </w:r>
      <w:r>
        <w:rPr>
          <w:rFonts w:hint="eastAsia" w:ascii="仿宋_GB2312" w:hAnsi="宋体" w:eastAsia="仿宋_GB2312" w:cs="宋体"/>
          <w:color w:val="000000"/>
          <w:spacing w:val="15"/>
          <w:kern w:val="0"/>
          <w:sz w:val="32"/>
          <w:szCs w:val="32"/>
        </w:rPr>
        <w:tab/>
      </w:r>
      <w:r>
        <w:rPr>
          <w:rFonts w:hint="eastAsia" w:ascii="仿宋_GB2312" w:hAnsi="宋体" w:eastAsia="仿宋_GB2312" w:cs="宋体"/>
          <w:color w:val="000000"/>
          <w:spacing w:val="15"/>
          <w:kern w:val="0"/>
          <w:sz w:val="32"/>
          <w:szCs w:val="32"/>
        </w:rPr>
        <w:t>326</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03</w:t>
      </w:r>
      <w:r>
        <w:rPr>
          <w:rFonts w:hint="eastAsia" w:ascii="仿宋_GB2312" w:hAnsi="宋体" w:eastAsia="仿宋_GB2312" w:cs="宋体"/>
          <w:color w:val="000000"/>
          <w:spacing w:val="15"/>
          <w:kern w:val="0"/>
          <w:sz w:val="32"/>
          <w:szCs w:val="32"/>
          <w:lang w:eastAsia="zh-CN"/>
        </w:rPr>
        <w:t>万元，</w:t>
      </w:r>
      <w:r>
        <w:rPr>
          <w:rFonts w:hint="eastAsia" w:ascii="仿宋_GB2312" w:hAnsi="宋体" w:eastAsia="仿宋_GB2312" w:cs="宋体"/>
          <w:color w:val="000000"/>
          <w:spacing w:val="15"/>
          <w:kern w:val="0"/>
          <w:sz w:val="32"/>
          <w:szCs w:val="32"/>
        </w:rPr>
        <w:t>城乡社区</w:t>
      </w:r>
      <w:r>
        <w:rPr>
          <w:rFonts w:hint="eastAsia" w:ascii="仿宋_GB2312" w:hAnsi="宋体" w:eastAsia="仿宋_GB2312" w:cs="宋体"/>
          <w:color w:val="000000"/>
          <w:spacing w:val="15"/>
          <w:kern w:val="0"/>
          <w:sz w:val="32"/>
          <w:szCs w:val="32"/>
        </w:rPr>
        <w:tab/>
      </w:r>
      <w:r>
        <w:rPr>
          <w:rFonts w:hint="eastAsia" w:ascii="仿宋_GB2312" w:hAnsi="宋体" w:eastAsia="仿宋_GB2312" w:cs="宋体"/>
          <w:color w:val="000000"/>
          <w:spacing w:val="15"/>
          <w:kern w:val="0"/>
          <w:sz w:val="32"/>
          <w:szCs w:val="32"/>
        </w:rPr>
        <w:t>1096</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0</w:t>
      </w:r>
      <w:r>
        <w:rPr>
          <w:rFonts w:hint="eastAsia" w:ascii="仿宋_GB2312" w:hAnsi="宋体" w:eastAsia="仿宋_GB2312" w:cs="宋体"/>
          <w:color w:val="000000"/>
          <w:spacing w:val="15"/>
          <w:kern w:val="0"/>
          <w:sz w:val="32"/>
          <w:szCs w:val="32"/>
          <w:lang w:val="en-US" w:eastAsia="zh-CN"/>
        </w:rPr>
        <w:t>1万元，</w:t>
      </w:r>
      <w:r>
        <w:rPr>
          <w:rFonts w:hint="eastAsia" w:ascii="仿宋_GB2312" w:hAnsi="宋体" w:eastAsia="仿宋_GB2312" w:cs="宋体"/>
          <w:color w:val="000000"/>
          <w:spacing w:val="15"/>
          <w:kern w:val="0"/>
          <w:sz w:val="32"/>
          <w:szCs w:val="32"/>
        </w:rPr>
        <w:t>农林水1</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7</w:t>
      </w:r>
      <w:r>
        <w:rPr>
          <w:rFonts w:hint="eastAsia" w:ascii="仿宋_GB2312" w:hAnsi="宋体" w:eastAsia="仿宋_GB2312" w:cs="宋体"/>
          <w:color w:val="000000"/>
          <w:spacing w:val="15"/>
          <w:kern w:val="0"/>
          <w:sz w:val="32"/>
          <w:szCs w:val="32"/>
          <w:lang w:val="en-US" w:eastAsia="zh-CN"/>
        </w:rPr>
        <w:t>8万元，</w:t>
      </w:r>
      <w:r>
        <w:rPr>
          <w:rFonts w:hint="eastAsia" w:ascii="仿宋_GB2312" w:hAnsi="宋体" w:eastAsia="仿宋_GB2312" w:cs="宋体"/>
          <w:color w:val="000000"/>
          <w:spacing w:val="15"/>
          <w:kern w:val="0"/>
          <w:sz w:val="32"/>
          <w:szCs w:val="32"/>
        </w:rPr>
        <w:t>住房保障</w:t>
      </w:r>
      <w:r>
        <w:rPr>
          <w:rFonts w:hint="eastAsia" w:ascii="仿宋_GB2312" w:hAnsi="宋体" w:eastAsia="仿宋_GB2312" w:cs="宋体"/>
          <w:color w:val="000000"/>
          <w:spacing w:val="15"/>
          <w:kern w:val="0"/>
          <w:sz w:val="32"/>
          <w:szCs w:val="32"/>
        </w:rPr>
        <w:tab/>
      </w:r>
      <w:r>
        <w:rPr>
          <w:rFonts w:hint="eastAsia" w:ascii="仿宋_GB2312" w:hAnsi="宋体" w:eastAsia="仿宋_GB2312" w:cs="宋体"/>
          <w:color w:val="000000"/>
          <w:spacing w:val="15"/>
          <w:kern w:val="0"/>
          <w:sz w:val="32"/>
          <w:szCs w:val="32"/>
        </w:rPr>
        <w:t>628</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4</w:t>
      </w:r>
      <w:r>
        <w:rPr>
          <w:rFonts w:hint="eastAsia" w:ascii="仿宋_GB2312" w:hAnsi="宋体" w:eastAsia="仿宋_GB2312" w:cs="宋体"/>
          <w:color w:val="000000"/>
          <w:spacing w:val="15"/>
          <w:kern w:val="0"/>
          <w:sz w:val="32"/>
          <w:szCs w:val="32"/>
          <w:lang w:val="en-US" w:eastAsia="zh-CN"/>
        </w:rPr>
        <w:t>6万元，</w:t>
      </w:r>
      <w:r>
        <w:rPr>
          <w:rFonts w:hint="eastAsia" w:ascii="仿宋_GB2312" w:hAnsi="宋体" w:eastAsia="仿宋_GB2312" w:cs="宋体"/>
          <w:color w:val="000000"/>
          <w:spacing w:val="15"/>
          <w:kern w:val="0"/>
          <w:sz w:val="32"/>
          <w:szCs w:val="32"/>
        </w:rPr>
        <w:t>灾害防治及应急管理支出</w:t>
      </w:r>
      <w:r>
        <w:rPr>
          <w:rFonts w:hint="eastAsia" w:ascii="仿宋_GB2312" w:hAnsi="宋体" w:eastAsia="仿宋_GB2312" w:cs="宋体"/>
          <w:color w:val="000000"/>
          <w:spacing w:val="15"/>
          <w:kern w:val="0"/>
          <w:sz w:val="32"/>
          <w:szCs w:val="32"/>
        </w:rPr>
        <w:tab/>
      </w:r>
      <w:r>
        <w:rPr>
          <w:rFonts w:hint="eastAsia" w:ascii="仿宋_GB2312" w:hAnsi="宋体" w:eastAsia="仿宋_GB2312" w:cs="宋体"/>
          <w:color w:val="000000"/>
          <w:spacing w:val="15"/>
          <w:kern w:val="0"/>
          <w:sz w:val="32"/>
          <w:szCs w:val="32"/>
        </w:rPr>
        <w:t>120</w:t>
      </w:r>
      <w:r>
        <w:rPr>
          <w:rFonts w:hint="eastAsia" w:ascii="仿宋_GB2312" w:hAnsi="宋体" w:eastAsia="仿宋_GB2312" w:cs="宋体"/>
          <w:color w:val="000000"/>
          <w:spacing w:val="15"/>
          <w:kern w:val="0"/>
          <w:sz w:val="32"/>
          <w:szCs w:val="32"/>
          <w:lang w:val="en-US" w:eastAsia="zh-CN"/>
        </w:rPr>
        <w:t>.</w:t>
      </w:r>
      <w:r>
        <w:rPr>
          <w:rFonts w:hint="eastAsia" w:ascii="仿宋_GB2312" w:hAnsi="宋体" w:eastAsia="仿宋_GB2312" w:cs="宋体"/>
          <w:color w:val="000000"/>
          <w:spacing w:val="15"/>
          <w:kern w:val="0"/>
          <w:sz w:val="32"/>
          <w:szCs w:val="32"/>
        </w:rPr>
        <w:t>90</w:t>
      </w:r>
      <w:r>
        <w:rPr>
          <w:rFonts w:hint="eastAsia" w:ascii="仿宋_GB2312" w:hAnsi="宋体" w:eastAsia="仿宋_GB2312" w:cs="宋体"/>
          <w:color w:val="000000"/>
          <w:spacing w:val="15"/>
          <w:kern w:val="0"/>
          <w:sz w:val="32"/>
          <w:szCs w:val="32"/>
          <w:lang w:eastAsia="zh-CN"/>
        </w:rPr>
        <w:t>万元，</w:t>
      </w:r>
      <w:r>
        <w:rPr>
          <w:rFonts w:hint="eastAsia" w:ascii="仿宋_GB2312" w:hAnsi="宋体" w:eastAsia="仿宋_GB2312" w:cs="宋体"/>
          <w:color w:val="000000"/>
          <w:spacing w:val="15"/>
          <w:kern w:val="0"/>
          <w:sz w:val="32"/>
          <w:szCs w:val="32"/>
        </w:rPr>
        <w:t>其他</w:t>
      </w:r>
      <w:r>
        <w:rPr>
          <w:rFonts w:hint="eastAsia" w:ascii="仿宋_GB2312" w:hAnsi="宋体" w:eastAsia="仿宋_GB2312" w:cs="宋体"/>
          <w:color w:val="000000"/>
          <w:spacing w:val="15"/>
          <w:kern w:val="0"/>
          <w:sz w:val="32"/>
          <w:szCs w:val="32"/>
        </w:rPr>
        <w:tab/>
      </w:r>
      <w:r>
        <w:rPr>
          <w:rFonts w:hint="eastAsia" w:ascii="仿宋_GB2312" w:hAnsi="宋体" w:eastAsia="仿宋_GB2312" w:cs="宋体"/>
          <w:color w:val="000000"/>
          <w:spacing w:val="15"/>
          <w:kern w:val="0"/>
          <w:sz w:val="32"/>
          <w:szCs w:val="32"/>
        </w:rPr>
        <w:t>50.00</w:t>
      </w:r>
      <w:r>
        <w:rPr>
          <w:rFonts w:hint="eastAsia" w:ascii="仿宋_GB2312" w:hAnsi="宋体" w:eastAsia="仿宋_GB2312" w:cs="宋体"/>
          <w:color w:val="000000"/>
          <w:spacing w:val="15"/>
          <w:kern w:val="0"/>
          <w:sz w:val="32"/>
          <w:szCs w:val="32"/>
          <w:lang w:eastAsia="zh-CN"/>
        </w:rPr>
        <w:t>万元</w:t>
      </w:r>
      <w:r>
        <w:rPr>
          <w:rFonts w:hint="eastAsia" w:ascii="仿宋_GB2312" w:hAnsi="宋体" w:eastAsia="仿宋_GB2312" w:cs="宋体"/>
          <w:color w:val="000000"/>
          <w:spacing w:val="15"/>
          <w:kern w:val="0"/>
          <w:sz w:val="32"/>
          <w:szCs w:val="32"/>
        </w:rPr>
        <w:t>。</w:t>
      </w:r>
    </w:p>
    <w:p>
      <w:pPr>
        <w:widowControl/>
        <w:adjustRightInd w:val="0"/>
        <w:spacing w:line="560" w:lineRule="exact"/>
        <w:ind w:firstLine="703"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三、主要支出内容</w:t>
      </w:r>
    </w:p>
    <w:p>
      <w:pPr>
        <w:keepNext w:val="0"/>
        <w:keepLines w:val="0"/>
        <w:pageBreakBefore w:val="0"/>
        <w:widowControl/>
        <w:kinsoku/>
        <w:wordWrap/>
        <w:overflowPunct/>
        <w:topLinePunct w:val="0"/>
        <w:autoSpaceDE/>
        <w:autoSpaceDN/>
        <w:bidi w:val="0"/>
        <w:adjustRightInd w:val="0"/>
        <w:snapToGrid/>
        <w:spacing w:line="560" w:lineRule="atLeast"/>
        <w:ind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1、行政机关、事业单位人员工资及日常运转经费；</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2、城乡社区支出</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3、社会保障和就业支出</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rPr>
        <w:t>4、医疗卫生与计划生育</w:t>
      </w:r>
      <w:r>
        <w:rPr>
          <w:rFonts w:hint="eastAsia" w:ascii="仿宋_GB2312" w:hAnsi="宋体" w:eastAsia="仿宋_GB2312" w:cs="宋体"/>
          <w:color w:val="000000"/>
          <w:spacing w:val="15"/>
          <w:kern w:val="0"/>
          <w:sz w:val="32"/>
          <w:szCs w:val="32"/>
          <w:lang w:eastAsia="zh-CN"/>
        </w:rPr>
        <w:t>支出</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5、文化体育与传媒支出</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6、</w:t>
      </w:r>
      <w:r>
        <w:rPr>
          <w:rFonts w:hint="eastAsia" w:ascii="仿宋_GB2312" w:hAnsi="宋体" w:eastAsia="仿宋_GB2312" w:cs="宋体"/>
          <w:color w:val="000000"/>
          <w:spacing w:val="15"/>
          <w:kern w:val="0"/>
          <w:sz w:val="32"/>
          <w:szCs w:val="32"/>
        </w:rPr>
        <w:t>住房保障</w:t>
      </w:r>
      <w:r>
        <w:rPr>
          <w:rFonts w:hint="eastAsia" w:ascii="仿宋_GB2312" w:hAnsi="宋体" w:eastAsia="仿宋_GB2312" w:cs="宋体"/>
          <w:color w:val="000000"/>
          <w:spacing w:val="15"/>
          <w:kern w:val="0"/>
          <w:sz w:val="32"/>
          <w:szCs w:val="32"/>
          <w:lang w:eastAsia="zh-CN"/>
        </w:rPr>
        <w:t>支出</w:t>
      </w:r>
    </w:p>
    <w:p>
      <w:pPr>
        <w:keepNext w:val="0"/>
        <w:keepLines w:val="0"/>
        <w:pageBreakBefore w:val="0"/>
        <w:widowControl/>
        <w:kinsoku/>
        <w:wordWrap/>
        <w:overflowPunct/>
        <w:topLinePunct w:val="0"/>
        <w:autoSpaceDE/>
        <w:autoSpaceDN/>
        <w:bidi w:val="0"/>
        <w:adjustRightInd w:val="0"/>
        <w:snapToGrid/>
        <w:spacing w:line="560" w:lineRule="atLeast"/>
        <w:ind w:left="160" w:leftChars="76" w:firstLine="700" w:firstLineChars="200"/>
        <w:jc w:val="left"/>
        <w:textAlignment w:val="auto"/>
        <w:rPr>
          <w:rFonts w:hint="eastAsia"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7、灾害防治及应急管理支出</w:t>
      </w:r>
    </w:p>
    <w:p>
      <w:pPr>
        <w:widowControl/>
        <w:adjustRightInd w:val="0"/>
        <w:spacing w:line="560" w:lineRule="exact"/>
        <w:ind w:firstLine="703"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四、政府采购情况说明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2020年政府采购预算总额为</w:t>
      </w:r>
      <w:r>
        <w:rPr>
          <w:rFonts w:hint="eastAsia" w:ascii="仿宋_GB2312" w:hAnsi="宋体" w:eastAsia="仿宋_GB2312" w:cs="宋体"/>
          <w:color w:val="000000"/>
          <w:spacing w:val="15"/>
          <w:kern w:val="0"/>
          <w:sz w:val="32"/>
          <w:szCs w:val="32"/>
          <w:lang w:val="en-US" w:eastAsia="zh-CN"/>
        </w:rPr>
        <w:t>1130.00</w:t>
      </w:r>
      <w:r>
        <w:rPr>
          <w:rFonts w:hint="eastAsia" w:ascii="仿宋_GB2312" w:hAnsi="宋体" w:eastAsia="仿宋_GB2312" w:cs="宋体"/>
          <w:color w:val="000000"/>
          <w:spacing w:val="15"/>
          <w:kern w:val="0"/>
          <w:sz w:val="32"/>
          <w:szCs w:val="32"/>
        </w:rPr>
        <w:t>万元，其中：政府采购货物预算</w:t>
      </w:r>
      <w:r>
        <w:rPr>
          <w:rFonts w:hint="eastAsia" w:ascii="仿宋_GB2312" w:hAnsi="宋体" w:eastAsia="仿宋_GB2312" w:cs="宋体"/>
          <w:color w:val="000000"/>
          <w:spacing w:val="15"/>
          <w:kern w:val="0"/>
          <w:sz w:val="32"/>
          <w:szCs w:val="32"/>
          <w:lang w:val="en-US" w:eastAsia="zh-CN"/>
        </w:rPr>
        <w:t>30.00</w:t>
      </w:r>
      <w:r>
        <w:rPr>
          <w:rFonts w:hint="eastAsia" w:ascii="仿宋_GB2312" w:hAnsi="宋体" w:eastAsia="仿宋_GB2312" w:cs="宋体"/>
          <w:color w:val="000000"/>
          <w:spacing w:val="15"/>
          <w:kern w:val="0"/>
          <w:sz w:val="32"/>
          <w:szCs w:val="32"/>
        </w:rPr>
        <w:t>万元，政府采购工程预算</w:t>
      </w:r>
      <w:r>
        <w:rPr>
          <w:rFonts w:hint="eastAsia" w:ascii="仿宋_GB2312" w:hAnsi="宋体" w:eastAsia="仿宋_GB2312" w:cs="宋体"/>
          <w:color w:val="000000"/>
          <w:spacing w:val="15"/>
          <w:kern w:val="0"/>
          <w:sz w:val="32"/>
          <w:szCs w:val="32"/>
          <w:lang w:val="en-US" w:eastAsia="zh-CN"/>
        </w:rPr>
        <w:t>700.00</w:t>
      </w:r>
      <w:r>
        <w:rPr>
          <w:rFonts w:hint="eastAsia" w:ascii="仿宋_GB2312" w:hAnsi="宋体" w:eastAsia="仿宋_GB2312" w:cs="宋体"/>
          <w:color w:val="000000"/>
          <w:spacing w:val="15"/>
          <w:kern w:val="0"/>
          <w:sz w:val="32"/>
          <w:szCs w:val="32"/>
        </w:rPr>
        <w:t>万元，政府采购服务预算</w:t>
      </w:r>
      <w:r>
        <w:rPr>
          <w:rFonts w:hint="eastAsia" w:ascii="仿宋_GB2312" w:hAnsi="宋体" w:eastAsia="仿宋_GB2312" w:cs="宋体"/>
          <w:color w:val="000000"/>
          <w:spacing w:val="15"/>
          <w:kern w:val="0"/>
          <w:sz w:val="32"/>
          <w:szCs w:val="32"/>
          <w:lang w:val="en-US" w:eastAsia="zh-CN"/>
        </w:rPr>
        <w:t>400.00</w:t>
      </w:r>
      <w:r>
        <w:rPr>
          <w:rFonts w:hint="eastAsia" w:ascii="仿宋_GB2312" w:hAnsi="宋体" w:eastAsia="仿宋_GB2312" w:cs="宋体"/>
          <w:color w:val="000000"/>
          <w:spacing w:val="15"/>
          <w:kern w:val="0"/>
          <w:sz w:val="32"/>
          <w:szCs w:val="32"/>
        </w:rPr>
        <w:t>万元。</w:t>
      </w:r>
    </w:p>
    <w:p>
      <w:pPr>
        <w:widowControl/>
        <w:adjustRightInd w:val="0"/>
        <w:spacing w:line="560" w:lineRule="exact"/>
        <w:ind w:firstLine="703"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五、机关运行经费财政拨款预算安排说明</w:t>
      </w:r>
    </w:p>
    <w:p>
      <w:pPr>
        <w:keepNext w:val="0"/>
        <w:keepLines w:val="0"/>
        <w:pageBreakBefore w:val="0"/>
        <w:widowControl/>
        <w:kinsoku/>
        <w:wordWrap/>
        <w:overflowPunct/>
        <w:topLinePunct w:val="0"/>
        <w:autoSpaceDE/>
        <w:autoSpaceDN/>
        <w:bidi w:val="0"/>
        <w:adjustRightInd w:val="0"/>
        <w:snapToGrid/>
        <w:spacing w:line="560" w:lineRule="exact"/>
        <w:ind w:left="160" w:leftChars="76" w:firstLine="700" w:firstLineChars="2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2020年本部门行政单位（含参照公务员法管理事业单位）履行一般行政管理职能、维持机关运行，用财政拨款安排的基本支出中的日常公用经费合计</w:t>
      </w:r>
      <w:r>
        <w:rPr>
          <w:rFonts w:hint="eastAsia" w:ascii="仿宋_GB2312" w:hAnsi="宋体" w:eastAsia="仿宋_GB2312" w:cs="宋体"/>
          <w:color w:val="000000"/>
          <w:spacing w:val="15"/>
          <w:kern w:val="0"/>
          <w:sz w:val="32"/>
          <w:szCs w:val="32"/>
          <w:lang w:val="en-US" w:eastAsia="zh-CN"/>
        </w:rPr>
        <w:t>446.42</w:t>
      </w:r>
      <w:r>
        <w:rPr>
          <w:rFonts w:hint="eastAsia" w:ascii="仿宋_GB2312" w:hAnsi="宋体" w:eastAsia="仿宋_GB2312" w:cs="宋体"/>
          <w:color w:val="000000"/>
          <w:spacing w:val="15"/>
          <w:kern w:val="0"/>
          <w:sz w:val="32"/>
          <w:szCs w:val="32"/>
        </w:rPr>
        <w:t>万元，主要用于：</w:t>
      </w:r>
      <w:r>
        <w:rPr>
          <w:rFonts w:hint="eastAsia" w:ascii="仿宋_GB2312" w:hAnsi="宋体" w:eastAsia="仿宋_GB2312" w:cs="宋体"/>
          <w:spacing w:val="15"/>
          <w:kern w:val="0"/>
          <w:sz w:val="32"/>
          <w:szCs w:val="32"/>
        </w:rPr>
        <w:t>水</w:t>
      </w:r>
      <w:r>
        <w:rPr>
          <w:rFonts w:hint="eastAsia" w:ascii="仿宋_GB2312" w:hAnsi="宋体" w:eastAsia="仿宋_GB2312" w:cs="宋体"/>
          <w:spacing w:val="15"/>
          <w:kern w:val="0"/>
          <w:sz w:val="32"/>
          <w:szCs w:val="32"/>
          <w:lang w:eastAsia="zh-CN"/>
        </w:rPr>
        <w:t>费（</w:t>
      </w:r>
      <w:r>
        <w:rPr>
          <w:rFonts w:hint="eastAsia" w:ascii="仿宋_GB2312" w:hAnsi="宋体" w:eastAsia="仿宋_GB2312" w:cs="宋体"/>
          <w:spacing w:val="15"/>
          <w:kern w:val="0"/>
          <w:sz w:val="32"/>
          <w:szCs w:val="32"/>
          <w:lang w:val="en-US" w:eastAsia="zh-CN"/>
        </w:rPr>
        <w:t>18.88万元</w:t>
      </w:r>
      <w:r>
        <w:rPr>
          <w:rFonts w:hint="eastAsia" w:ascii="仿宋_GB2312" w:hAnsi="宋体" w:eastAsia="仿宋_GB2312" w:cs="宋体"/>
          <w:spacing w:val="15"/>
          <w:kern w:val="0"/>
          <w:sz w:val="32"/>
          <w:szCs w:val="32"/>
          <w:lang w:eastAsia="zh-CN"/>
        </w:rPr>
        <w:t>）</w:t>
      </w:r>
      <w:r>
        <w:rPr>
          <w:rFonts w:hint="eastAsia" w:ascii="仿宋_GB2312" w:hAnsi="宋体" w:eastAsia="仿宋_GB2312" w:cs="宋体"/>
          <w:spacing w:val="15"/>
          <w:kern w:val="0"/>
          <w:sz w:val="32"/>
          <w:szCs w:val="32"/>
        </w:rPr>
        <w:t>、</w:t>
      </w:r>
      <w:r>
        <w:rPr>
          <w:rFonts w:hint="eastAsia" w:ascii="仿宋_GB2312" w:hAnsi="宋体" w:eastAsia="仿宋_GB2312" w:cs="宋体"/>
          <w:spacing w:val="15"/>
          <w:kern w:val="0"/>
          <w:sz w:val="32"/>
          <w:szCs w:val="32"/>
          <w:lang w:eastAsia="zh-CN"/>
        </w:rPr>
        <w:t>电费（</w:t>
      </w:r>
      <w:r>
        <w:rPr>
          <w:rFonts w:hint="eastAsia" w:ascii="仿宋_GB2312" w:hAnsi="宋体" w:eastAsia="仿宋_GB2312" w:cs="宋体"/>
          <w:spacing w:val="15"/>
          <w:kern w:val="0"/>
          <w:sz w:val="32"/>
          <w:szCs w:val="32"/>
          <w:lang w:val="en-US" w:eastAsia="zh-CN"/>
        </w:rPr>
        <w:t>88.26万元</w:t>
      </w:r>
      <w:r>
        <w:rPr>
          <w:rFonts w:hint="eastAsia" w:ascii="仿宋_GB2312" w:hAnsi="宋体" w:eastAsia="仿宋_GB2312" w:cs="宋体"/>
          <w:spacing w:val="15"/>
          <w:kern w:val="0"/>
          <w:sz w:val="32"/>
          <w:szCs w:val="32"/>
          <w:lang w:eastAsia="zh-CN"/>
        </w:rPr>
        <w:t>）</w:t>
      </w:r>
      <w:r>
        <w:rPr>
          <w:rFonts w:hint="eastAsia" w:ascii="仿宋_GB2312" w:hAnsi="宋体" w:eastAsia="仿宋_GB2312" w:cs="宋体"/>
          <w:spacing w:val="15"/>
          <w:kern w:val="0"/>
          <w:sz w:val="32"/>
          <w:szCs w:val="32"/>
        </w:rPr>
        <w:t>、邮电费</w:t>
      </w:r>
      <w:r>
        <w:rPr>
          <w:rFonts w:hint="eastAsia" w:ascii="仿宋_GB2312" w:hAnsi="宋体" w:eastAsia="仿宋_GB2312" w:cs="宋体"/>
          <w:spacing w:val="15"/>
          <w:kern w:val="0"/>
          <w:sz w:val="32"/>
          <w:szCs w:val="32"/>
          <w:lang w:eastAsia="zh-CN"/>
        </w:rPr>
        <w:t>（</w:t>
      </w:r>
      <w:r>
        <w:rPr>
          <w:rFonts w:hint="eastAsia" w:ascii="仿宋_GB2312" w:hAnsi="宋体" w:eastAsia="仿宋_GB2312" w:cs="宋体"/>
          <w:spacing w:val="15"/>
          <w:kern w:val="0"/>
          <w:sz w:val="32"/>
          <w:szCs w:val="32"/>
          <w:lang w:val="en-US" w:eastAsia="zh-CN"/>
        </w:rPr>
        <w:t>2.3万元</w:t>
      </w:r>
      <w:r>
        <w:rPr>
          <w:rFonts w:hint="eastAsia" w:ascii="仿宋_GB2312" w:hAnsi="宋体" w:eastAsia="仿宋_GB2312" w:cs="宋体"/>
          <w:spacing w:val="15"/>
          <w:kern w:val="0"/>
          <w:sz w:val="32"/>
          <w:szCs w:val="32"/>
          <w:lang w:eastAsia="zh-CN"/>
        </w:rPr>
        <w:t>）</w:t>
      </w:r>
      <w:r>
        <w:rPr>
          <w:rFonts w:hint="eastAsia" w:ascii="仿宋_GB2312" w:hAnsi="宋体" w:eastAsia="仿宋_GB2312" w:cs="宋体"/>
          <w:spacing w:val="15"/>
          <w:kern w:val="0"/>
          <w:sz w:val="32"/>
          <w:szCs w:val="32"/>
        </w:rPr>
        <w:t>、</w:t>
      </w:r>
      <w:r>
        <w:rPr>
          <w:rFonts w:hint="eastAsia" w:ascii="仿宋_GB2312" w:hAnsi="宋体" w:eastAsia="仿宋_GB2312" w:cs="宋体"/>
          <w:spacing w:val="15"/>
          <w:kern w:val="0"/>
          <w:sz w:val="32"/>
          <w:szCs w:val="32"/>
          <w:lang w:eastAsia="zh-CN"/>
        </w:rPr>
        <w:t>通讯费（</w:t>
      </w:r>
      <w:r>
        <w:rPr>
          <w:rFonts w:hint="eastAsia" w:ascii="仿宋_GB2312" w:hAnsi="宋体" w:eastAsia="仿宋_GB2312" w:cs="宋体"/>
          <w:spacing w:val="15"/>
          <w:kern w:val="0"/>
          <w:sz w:val="32"/>
          <w:szCs w:val="32"/>
          <w:lang w:val="en-US" w:eastAsia="zh-CN"/>
        </w:rPr>
        <w:t>30.05万元</w:t>
      </w:r>
      <w:r>
        <w:rPr>
          <w:rFonts w:hint="eastAsia" w:ascii="仿宋_GB2312" w:hAnsi="宋体" w:eastAsia="仿宋_GB2312" w:cs="宋体"/>
          <w:spacing w:val="15"/>
          <w:kern w:val="0"/>
          <w:sz w:val="32"/>
          <w:szCs w:val="32"/>
          <w:lang w:eastAsia="zh-CN"/>
        </w:rPr>
        <w:t>）取暖费（</w:t>
      </w:r>
      <w:r>
        <w:rPr>
          <w:rFonts w:hint="eastAsia" w:ascii="仿宋_GB2312" w:hAnsi="宋体" w:eastAsia="仿宋_GB2312" w:cs="宋体"/>
          <w:spacing w:val="15"/>
          <w:kern w:val="0"/>
          <w:sz w:val="32"/>
          <w:szCs w:val="32"/>
          <w:lang w:val="en-US" w:eastAsia="zh-CN"/>
        </w:rPr>
        <w:t>19.8万元</w:t>
      </w:r>
      <w:r>
        <w:rPr>
          <w:rFonts w:hint="eastAsia" w:ascii="仿宋_GB2312" w:hAnsi="宋体" w:eastAsia="仿宋_GB2312" w:cs="宋体"/>
          <w:spacing w:val="15"/>
          <w:kern w:val="0"/>
          <w:sz w:val="32"/>
          <w:szCs w:val="32"/>
          <w:lang w:eastAsia="zh-CN"/>
        </w:rPr>
        <w:t>）、工会经费（</w:t>
      </w:r>
      <w:r>
        <w:rPr>
          <w:rFonts w:hint="eastAsia" w:ascii="仿宋_GB2312" w:hAnsi="宋体" w:eastAsia="仿宋_GB2312" w:cs="宋体"/>
          <w:spacing w:val="15"/>
          <w:kern w:val="0"/>
          <w:sz w:val="32"/>
          <w:szCs w:val="32"/>
          <w:lang w:val="en-US" w:eastAsia="zh-CN"/>
        </w:rPr>
        <w:t>26.83万元</w:t>
      </w:r>
      <w:r>
        <w:rPr>
          <w:rFonts w:hint="eastAsia" w:ascii="仿宋_GB2312" w:hAnsi="宋体" w:eastAsia="仿宋_GB2312" w:cs="宋体"/>
          <w:spacing w:val="15"/>
          <w:kern w:val="0"/>
          <w:sz w:val="32"/>
          <w:szCs w:val="32"/>
          <w:lang w:eastAsia="zh-CN"/>
        </w:rPr>
        <w:t>）、维修费（</w:t>
      </w:r>
      <w:r>
        <w:rPr>
          <w:rFonts w:hint="eastAsia" w:ascii="仿宋_GB2312" w:hAnsi="宋体" w:eastAsia="仿宋_GB2312" w:cs="宋体"/>
          <w:spacing w:val="15"/>
          <w:kern w:val="0"/>
          <w:sz w:val="32"/>
          <w:szCs w:val="32"/>
          <w:lang w:val="en-US" w:eastAsia="zh-CN"/>
        </w:rPr>
        <w:t>8.53万元</w:t>
      </w:r>
      <w:r>
        <w:rPr>
          <w:rFonts w:hint="eastAsia" w:ascii="仿宋_GB2312" w:hAnsi="宋体" w:eastAsia="仿宋_GB2312" w:cs="宋体"/>
          <w:spacing w:val="15"/>
          <w:kern w:val="0"/>
          <w:sz w:val="32"/>
          <w:szCs w:val="32"/>
          <w:lang w:eastAsia="zh-CN"/>
        </w:rPr>
        <w:t>）、会议费（</w:t>
      </w:r>
      <w:r>
        <w:rPr>
          <w:rFonts w:hint="eastAsia" w:ascii="仿宋_GB2312" w:hAnsi="宋体" w:eastAsia="仿宋_GB2312" w:cs="宋体"/>
          <w:spacing w:val="15"/>
          <w:kern w:val="0"/>
          <w:sz w:val="32"/>
          <w:szCs w:val="32"/>
          <w:lang w:val="en-US" w:eastAsia="zh-CN"/>
        </w:rPr>
        <w:t>2.29万元</w:t>
      </w:r>
      <w:r>
        <w:rPr>
          <w:rFonts w:hint="eastAsia" w:ascii="仿宋_GB2312" w:hAnsi="宋体" w:eastAsia="仿宋_GB2312" w:cs="宋体"/>
          <w:spacing w:val="15"/>
          <w:kern w:val="0"/>
          <w:sz w:val="32"/>
          <w:szCs w:val="32"/>
          <w:lang w:eastAsia="zh-CN"/>
        </w:rPr>
        <w:t>）、培训费（</w:t>
      </w:r>
      <w:r>
        <w:rPr>
          <w:rFonts w:hint="eastAsia" w:ascii="仿宋_GB2312" w:hAnsi="宋体" w:eastAsia="仿宋_GB2312" w:cs="宋体"/>
          <w:spacing w:val="15"/>
          <w:kern w:val="0"/>
          <w:sz w:val="32"/>
          <w:szCs w:val="32"/>
          <w:lang w:val="en-US" w:eastAsia="zh-CN"/>
        </w:rPr>
        <w:t>4.82万元）、公务接待费（1.94万元）、办公费（64.48万元）其他交通费用（82.94万元）、</w:t>
      </w:r>
      <w:r>
        <w:rPr>
          <w:rFonts w:hint="eastAsia" w:ascii="仿宋_GB2312" w:hAnsi="宋体" w:eastAsia="仿宋_GB2312" w:cs="宋体"/>
          <w:spacing w:val="15"/>
          <w:kern w:val="0"/>
          <w:sz w:val="32"/>
          <w:szCs w:val="32"/>
          <w:lang w:eastAsia="zh-CN"/>
        </w:rPr>
        <w:t>其他商品和服务支出（</w:t>
      </w:r>
      <w:r>
        <w:rPr>
          <w:rFonts w:hint="eastAsia" w:ascii="仿宋_GB2312" w:hAnsi="宋体" w:eastAsia="仿宋_GB2312" w:cs="宋体"/>
          <w:spacing w:val="15"/>
          <w:kern w:val="0"/>
          <w:sz w:val="32"/>
          <w:szCs w:val="32"/>
          <w:lang w:val="en-US" w:eastAsia="zh-CN"/>
        </w:rPr>
        <w:t>95.3万元</w:t>
      </w:r>
      <w:r>
        <w:rPr>
          <w:rFonts w:hint="eastAsia" w:ascii="仿宋_GB2312" w:hAnsi="宋体" w:eastAsia="仿宋_GB2312" w:cs="宋体"/>
          <w:spacing w:val="15"/>
          <w:kern w:val="0"/>
          <w:sz w:val="32"/>
          <w:szCs w:val="32"/>
          <w:lang w:eastAsia="zh-CN"/>
        </w:rPr>
        <w:t>）</w:t>
      </w:r>
      <w:r>
        <w:rPr>
          <w:rFonts w:hint="eastAsia" w:ascii="仿宋_GB2312" w:hAnsi="宋体" w:eastAsia="仿宋_GB2312" w:cs="宋体"/>
          <w:color w:val="000000"/>
          <w:spacing w:val="15"/>
          <w:kern w:val="0"/>
          <w:sz w:val="32"/>
          <w:szCs w:val="32"/>
        </w:rPr>
        <w:t>等。</w:t>
      </w:r>
    </w:p>
    <w:p>
      <w:pPr>
        <w:widowControl/>
        <w:adjustRightInd w:val="0"/>
        <w:spacing w:line="560" w:lineRule="exact"/>
        <w:ind w:firstLine="703" w:firstLineChars="200"/>
        <w:jc w:val="left"/>
        <w:rPr>
          <w:rFonts w:hint="eastAsia"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六、行政事业性收费重点项目信息说明</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本单位不涉及此项内容。</w:t>
      </w:r>
    </w:p>
    <w:p>
      <w:pPr>
        <w:widowControl/>
        <w:adjustRightInd w:val="0"/>
        <w:spacing w:line="560" w:lineRule="exact"/>
        <w:ind w:firstLine="703" w:firstLineChars="200"/>
        <w:jc w:val="left"/>
        <w:rPr>
          <w:rFonts w:ascii="黑体" w:hAnsi="宋体" w:eastAsia="黑体" w:cs="宋体"/>
          <w:b/>
          <w:color w:val="000000"/>
          <w:spacing w:val="15"/>
          <w:kern w:val="0"/>
          <w:sz w:val="32"/>
          <w:szCs w:val="32"/>
        </w:rPr>
      </w:pPr>
      <w:r>
        <w:rPr>
          <w:rFonts w:hint="eastAsia" w:ascii="黑体" w:hAnsi="宋体" w:eastAsia="黑体" w:cs="宋体"/>
          <w:b/>
          <w:color w:val="000000"/>
          <w:spacing w:val="15"/>
          <w:kern w:val="0"/>
          <w:sz w:val="32"/>
          <w:szCs w:val="32"/>
        </w:rPr>
        <w:t>七、固定资产占用使用情况说明</w:t>
      </w:r>
    </w:p>
    <w:p>
      <w:pPr>
        <w:widowControl/>
        <w:adjustRightInd w:val="0"/>
        <w:spacing w:line="560" w:lineRule="exact"/>
        <w:ind w:firstLine="700" w:firstLineChars="200"/>
        <w:jc w:val="left"/>
        <w:rPr>
          <w:rFonts w:hint="eastAsia" w:ascii="仿宋_GB2312" w:hAnsi="宋体" w:eastAsia="仿宋_GB2312" w:cs="宋体"/>
          <w:b/>
          <w:color w:val="000000"/>
          <w:spacing w:val="15"/>
          <w:kern w:val="0"/>
          <w:sz w:val="32"/>
          <w:szCs w:val="32"/>
        </w:rPr>
      </w:pPr>
      <w:r>
        <w:rPr>
          <w:rFonts w:hint="eastAsia" w:ascii="仿宋_GB2312" w:hAnsi="宋体" w:eastAsia="仿宋_GB2312" w:cs="宋体"/>
          <w:color w:val="000000"/>
          <w:spacing w:val="15"/>
          <w:kern w:val="0"/>
          <w:sz w:val="32"/>
          <w:szCs w:val="32"/>
        </w:rPr>
        <w:t>截止2019年底，本部门（包括各下属单位）固定资产总额</w:t>
      </w:r>
      <w:r>
        <w:rPr>
          <w:rFonts w:hint="eastAsia" w:ascii="仿宋_GB2312" w:hAnsi="宋体" w:eastAsia="仿宋_GB2312" w:cs="宋体"/>
          <w:color w:val="000000"/>
          <w:spacing w:val="15"/>
          <w:kern w:val="0"/>
          <w:sz w:val="32"/>
          <w:szCs w:val="32"/>
          <w:lang w:val="en-US" w:eastAsia="zh-CN"/>
        </w:rPr>
        <w:t>2172.15</w:t>
      </w:r>
      <w:r>
        <w:rPr>
          <w:rFonts w:hint="eastAsia" w:ascii="仿宋_GB2312" w:hAnsi="宋体" w:eastAsia="仿宋_GB2312" w:cs="宋体"/>
          <w:color w:val="000000"/>
          <w:spacing w:val="15"/>
          <w:kern w:val="0"/>
          <w:sz w:val="32"/>
          <w:szCs w:val="32"/>
        </w:rPr>
        <w:t>万元，其中：车辆</w:t>
      </w:r>
      <w:r>
        <w:rPr>
          <w:rFonts w:hint="eastAsia" w:ascii="仿宋_GB2312" w:hAnsi="宋体" w:eastAsia="仿宋_GB2312" w:cs="宋体"/>
          <w:color w:val="000000"/>
          <w:spacing w:val="15"/>
          <w:kern w:val="0"/>
          <w:sz w:val="32"/>
          <w:szCs w:val="32"/>
          <w:lang w:val="en-US" w:eastAsia="zh-CN"/>
        </w:rPr>
        <w:t>4</w:t>
      </w:r>
      <w:r>
        <w:rPr>
          <w:rFonts w:hint="eastAsia" w:ascii="仿宋_GB2312" w:hAnsi="宋体" w:eastAsia="仿宋_GB2312" w:cs="宋体"/>
          <w:color w:val="000000"/>
          <w:spacing w:val="15"/>
          <w:kern w:val="0"/>
          <w:sz w:val="32"/>
          <w:szCs w:val="32"/>
        </w:rPr>
        <w:t>台，</w:t>
      </w:r>
      <w:r>
        <w:rPr>
          <w:rFonts w:hint="eastAsia" w:ascii="仿宋_GB2312" w:hAnsi="宋体" w:eastAsia="仿宋_GB2312" w:cs="宋体"/>
          <w:color w:val="000000"/>
          <w:spacing w:val="15"/>
          <w:kern w:val="0"/>
          <w:sz w:val="32"/>
          <w:szCs w:val="32"/>
          <w:lang w:val="en-US" w:eastAsia="zh-CN"/>
        </w:rPr>
        <w:t>26.66</w:t>
      </w:r>
      <w:r>
        <w:rPr>
          <w:rFonts w:hint="eastAsia" w:ascii="仿宋_GB2312" w:hAnsi="宋体" w:eastAsia="仿宋_GB2312" w:cs="宋体"/>
          <w:color w:val="000000"/>
          <w:spacing w:val="15"/>
          <w:kern w:val="0"/>
          <w:sz w:val="32"/>
          <w:szCs w:val="32"/>
        </w:rPr>
        <w:t>万元；单位价值50万元以上的通用设备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万元，单位价值100万元以上的专用设备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w:t>
      </w:r>
    </w:p>
    <w:p>
      <w:pPr>
        <w:widowControl/>
        <w:numPr>
          <w:ilvl w:val="0"/>
          <w:numId w:val="0"/>
        </w:numPr>
        <w:adjustRightInd w:val="0"/>
        <w:spacing w:line="440" w:lineRule="exact"/>
        <w:ind w:firstLine="703" w:firstLineChars="200"/>
        <w:jc w:val="left"/>
        <w:rPr>
          <w:rFonts w:hint="eastAsia" w:ascii="仿宋_GB2312" w:hAnsi="宋体" w:eastAsia="仿宋_GB2312" w:cs="宋体"/>
          <w:b/>
          <w:color w:val="000000"/>
          <w:spacing w:val="15"/>
          <w:kern w:val="0"/>
          <w:sz w:val="32"/>
          <w:szCs w:val="32"/>
          <w:lang w:val="en-US" w:eastAsia="zh-CN"/>
        </w:rPr>
      </w:pPr>
      <w:r>
        <w:rPr>
          <w:rFonts w:hint="eastAsia" w:ascii="黑体" w:hAnsi="宋体" w:eastAsia="黑体" w:cs="宋体"/>
          <w:b/>
          <w:color w:val="000000"/>
          <w:spacing w:val="15"/>
          <w:kern w:val="0"/>
          <w:sz w:val="32"/>
          <w:szCs w:val="32"/>
        </w:rPr>
        <w:t>八、</w:t>
      </w:r>
      <w:r>
        <w:rPr>
          <w:rFonts w:hint="eastAsia" w:ascii="仿宋_GB2312" w:hAnsi="宋体" w:eastAsia="仿宋_GB2312" w:cs="宋体"/>
          <w:b/>
          <w:color w:val="000000"/>
          <w:spacing w:val="15"/>
          <w:kern w:val="0"/>
          <w:sz w:val="32"/>
          <w:szCs w:val="32"/>
          <w:lang w:val="en-US" w:eastAsia="zh-CN"/>
        </w:rPr>
        <w:t>部门“三公”经费财政拨款预算说明</w:t>
      </w:r>
    </w:p>
    <w:p>
      <w:pPr>
        <w:ind w:firstLine="640" w:firstLineChars="200"/>
        <w:rPr>
          <w:rFonts w:hint="eastAsia" w:ascii="黑体" w:eastAsia="黑体"/>
          <w:b/>
          <w:sz w:val="32"/>
          <w:szCs w:val="32"/>
        </w:rPr>
      </w:pPr>
      <w:r>
        <w:rPr>
          <w:rFonts w:hint="eastAsia" w:ascii="仿宋_GB2312" w:eastAsia="仿宋_GB2312"/>
          <w:sz w:val="32"/>
          <w:szCs w:val="32"/>
        </w:rPr>
        <w:t>北京市丰台区南苑乡人民政府因公出国（境）费用、公务接待费、公务用车购置和运行维护费开支单位包括4个所属单位。北京市丰台区南苑乡人民政府因公出国（境）费用、公务接待费、公务用车购置和运行维护费</w:t>
      </w:r>
      <w:r>
        <w:rPr>
          <w:rFonts w:hint="eastAsia" w:ascii="仿宋_GB2312" w:eastAsia="仿宋_GB2312"/>
          <w:sz w:val="32"/>
          <w:szCs w:val="32"/>
          <w:lang w:eastAsia="zh-CN"/>
        </w:rPr>
        <w:t>，</w:t>
      </w:r>
      <w:r>
        <w:rPr>
          <w:rFonts w:hint="eastAsia" w:ascii="仿宋_GB2312" w:eastAsia="仿宋_GB2312"/>
          <w:sz w:val="32"/>
          <w:szCs w:val="32"/>
        </w:rPr>
        <w:t>开支单位包括</w:t>
      </w:r>
      <w:r>
        <w:rPr>
          <w:rFonts w:hint="eastAsia" w:ascii="仿宋_GB2312" w:eastAsia="仿宋_GB2312"/>
          <w:sz w:val="32"/>
          <w:szCs w:val="32"/>
          <w:lang w:val="en-US" w:eastAsia="zh-CN"/>
        </w:rPr>
        <w:t>4</w:t>
      </w:r>
      <w:r>
        <w:rPr>
          <w:rFonts w:hint="eastAsia" w:ascii="仿宋_GB2312" w:eastAsia="仿宋_GB2312"/>
          <w:sz w:val="32"/>
          <w:szCs w:val="32"/>
        </w:rPr>
        <w:t>个所属单位。</w:t>
      </w:r>
    </w:p>
    <w:p>
      <w:pPr>
        <w:ind w:firstLine="640" w:firstLineChars="200"/>
        <w:rPr>
          <w:rFonts w:hint="eastAsia" w:ascii="仿宋_GB2312" w:eastAsia="仿宋_GB2312"/>
          <w:sz w:val="32"/>
          <w:szCs w:val="32"/>
        </w:rPr>
      </w:pPr>
      <w:r>
        <w:rPr>
          <w:rFonts w:hint="eastAsia" w:ascii="仿宋_GB2312" w:eastAsia="仿宋_GB2312"/>
          <w:sz w:val="32"/>
          <w:szCs w:val="32"/>
        </w:rPr>
        <w:t>2020年“三公”经费财政拨款预算</w:t>
      </w:r>
      <w:r>
        <w:rPr>
          <w:rFonts w:hint="eastAsia" w:ascii="仿宋_GB2312" w:eastAsia="仿宋_GB2312"/>
          <w:sz w:val="32"/>
          <w:szCs w:val="32"/>
          <w:lang w:val="en-US" w:eastAsia="zh-CN"/>
        </w:rPr>
        <w:t>1.94</w:t>
      </w:r>
      <w:r>
        <w:rPr>
          <w:rFonts w:hint="eastAsia" w:ascii="仿宋_GB2312" w:eastAsia="仿宋_GB2312"/>
          <w:sz w:val="32"/>
          <w:szCs w:val="32"/>
        </w:rPr>
        <w:t>万元，其中：</w:t>
      </w:r>
    </w:p>
    <w:p>
      <w:pPr>
        <w:ind w:firstLine="640"/>
        <w:rPr>
          <w:rFonts w:hint="eastAsia" w:ascii="仿宋_GB2312" w:eastAsia="仿宋_GB2312"/>
          <w:sz w:val="32"/>
          <w:szCs w:val="32"/>
        </w:rPr>
      </w:pPr>
      <w:r>
        <w:rPr>
          <w:rFonts w:hint="eastAsia" w:ascii="仿宋_GB2312" w:eastAsia="仿宋_GB2312"/>
          <w:sz w:val="32"/>
          <w:szCs w:val="32"/>
        </w:rPr>
        <w:t>（一）因公出国（境）费用</w:t>
      </w:r>
    </w:p>
    <w:p>
      <w:pPr>
        <w:ind w:firstLine="640"/>
        <w:rPr>
          <w:rFonts w:hint="eastAsia" w:ascii="仿宋_GB2312" w:eastAsia="仿宋_GB2312"/>
          <w:sz w:val="32"/>
          <w:szCs w:val="32"/>
          <w:lang w:eastAsia="zh-CN"/>
        </w:rPr>
      </w:pPr>
      <w:r>
        <w:rPr>
          <w:rFonts w:hint="eastAsia" w:ascii="仿宋_GB2312" w:eastAsia="仿宋_GB2312"/>
          <w:sz w:val="32"/>
          <w:szCs w:val="32"/>
        </w:rPr>
        <w:t>2020年预算数</w:t>
      </w:r>
      <w:r>
        <w:rPr>
          <w:rFonts w:hint="eastAsia" w:ascii="仿宋_GB2312" w:eastAsia="仿宋_GB2312"/>
          <w:sz w:val="32"/>
          <w:szCs w:val="32"/>
          <w:lang w:val="en-US" w:eastAsia="zh-CN"/>
        </w:rPr>
        <w:t>0.00</w:t>
      </w:r>
      <w:r>
        <w:rPr>
          <w:rFonts w:hint="eastAsia" w:ascii="仿宋_GB2312" w:eastAsia="仿宋_GB2312"/>
          <w:sz w:val="32"/>
          <w:szCs w:val="32"/>
        </w:rPr>
        <w:t>万元，同比</w:t>
      </w:r>
      <w:r>
        <w:rPr>
          <w:rFonts w:hint="eastAsia" w:ascii="仿宋_GB2312" w:eastAsia="仿宋_GB2312"/>
          <w:sz w:val="32"/>
          <w:szCs w:val="32"/>
          <w:lang w:eastAsia="zh-CN"/>
        </w:rPr>
        <w:t>无变动，原因为</w:t>
      </w:r>
      <w:r>
        <w:rPr>
          <w:rFonts w:hint="eastAsia" w:ascii="仿宋_GB2312" w:eastAsia="仿宋_GB2312"/>
          <w:sz w:val="32"/>
          <w:szCs w:val="32"/>
          <w:lang w:val="en-US" w:eastAsia="zh-CN"/>
        </w:rPr>
        <w:t>2020年未安排因公出国（境）事项</w:t>
      </w:r>
      <w:r>
        <w:rPr>
          <w:rFonts w:hint="eastAsia" w:ascii="仿宋_GB2312" w:eastAsia="仿宋_GB2312"/>
          <w:sz w:val="32"/>
          <w:szCs w:val="32"/>
          <w:lang w:eastAsia="zh-CN"/>
        </w:rPr>
        <w:t>。</w:t>
      </w:r>
    </w:p>
    <w:p>
      <w:pPr>
        <w:ind w:firstLine="640"/>
        <w:rPr>
          <w:rFonts w:hint="eastAsia" w:ascii="仿宋_GB2312" w:eastAsia="仿宋_GB2312"/>
          <w:sz w:val="32"/>
          <w:szCs w:val="32"/>
        </w:rPr>
      </w:pPr>
      <w:r>
        <w:rPr>
          <w:rFonts w:hint="eastAsia" w:ascii="仿宋_GB2312" w:eastAsia="仿宋_GB2312"/>
          <w:sz w:val="32"/>
          <w:szCs w:val="32"/>
        </w:rPr>
        <w:t>（二）公务接待费</w:t>
      </w:r>
    </w:p>
    <w:p>
      <w:pPr>
        <w:ind w:firstLine="640"/>
        <w:rPr>
          <w:rFonts w:hint="eastAsia" w:ascii="仿宋_GB2312" w:eastAsia="仿宋_GB2312"/>
          <w:sz w:val="32"/>
          <w:szCs w:val="32"/>
          <w:lang w:eastAsia="zh-CN"/>
        </w:rPr>
      </w:pPr>
      <w:r>
        <w:rPr>
          <w:rFonts w:hint="eastAsia" w:ascii="仿宋_GB2312" w:eastAsia="仿宋_GB2312"/>
          <w:sz w:val="32"/>
          <w:szCs w:val="32"/>
        </w:rPr>
        <w:t>2020年预算数</w:t>
      </w:r>
      <w:r>
        <w:rPr>
          <w:rFonts w:hint="eastAsia" w:ascii="仿宋_GB2312" w:eastAsia="仿宋_GB2312"/>
          <w:sz w:val="32"/>
          <w:szCs w:val="32"/>
          <w:lang w:val="en-US" w:eastAsia="zh-CN"/>
        </w:rPr>
        <w:t>1.94</w:t>
      </w:r>
      <w:r>
        <w:rPr>
          <w:rFonts w:hint="eastAsia" w:ascii="仿宋_GB2312" w:eastAsia="仿宋_GB2312"/>
          <w:sz w:val="32"/>
          <w:szCs w:val="32"/>
        </w:rPr>
        <w:t>万元，主要用于单位按规定开支的各类公务接待（含外宾接待）支出，同比下降</w:t>
      </w:r>
      <w:r>
        <w:rPr>
          <w:rFonts w:hint="eastAsia" w:ascii="仿宋_GB2312" w:eastAsia="仿宋_GB2312"/>
          <w:sz w:val="32"/>
          <w:szCs w:val="32"/>
          <w:lang w:val="en-US" w:eastAsia="zh-CN"/>
        </w:rPr>
        <w:t>10.00</w:t>
      </w:r>
      <w:r>
        <w:rPr>
          <w:rFonts w:hint="eastAsia" w:ascii="仿宋_GB2312" w:eastAsia="仿宋_GB2312"/>
          <w:sz w:val="32"/>
          <w:szCs w:val="32"/>
        </w:rPr>
        <w:t>%，变动原因为</w:t>
      </w:r>
      <w:r>
        <w:rPr>
          <w:rFonts w:hint="eastAsia" w:ascii="仿宋_GB2312" w:eastAsia="仿宋_GB2312"/>
          <w:sz w:val="32"/>
          <w:szCs w:val="32"/>
          <w:lang w:eastAsia="zh-CN"/>
        </w:rPr>
        <w:t>创建节约型政府，尽可能压缩公务接待费。</w:t>
      </w:r>
    </w:p>
    <w:p>
      <w:pPr>
        <w:ind w:firstLine="640"/>
        <w:rPr>
          <w:rFonts w:hint="eastAsia" w:ascii="仿宋_GB2312" w:eastAsia="仿宋_GB2312"/>
          <w:sz w:val="32"/>
          <w:szCs w:val="32"/>
        </w:rPr>
      </w:pPr>
      <w:r>
        <w:rPr>
          <w:rFonts w:hint="eastAsia" w:ascii="仿宋_GB2312" w:eastAsia="仿宋_GB2312"/>
          <w:sz w:val="32"/>
          <w:szCs w:val="32"/>
        </w:rPr>
        <w:t>（三）公务用车购置和运行维护费</w:t>
      </w:r>
    </w:p>
    <w:p>
      <w:pPr>
        <w:ind w:firstLine="640"/>
        <w:rPr>
          <w:rFonts w:hint="eastAsia" w:ascii="仿宋_GB2312" w:eastAsia="仿宋_GB2312"/>
          <w:sz w:val="32"/>
          <w:szCs w:val="32"/>
          <w:lang w:eastAsia="zh-CN"/>
        </w:rPr>
      </w:pPr>
      <w:r>
        <w:rPr>
          <w:rFonts w:hint="eastAsia" w:ascii="仿宋_GB2312" w:eastAsia="仿宋_GB2312"/>
          <w:sz w:val="32"/>
          <w:szCs w:val="32"/>
        </w:rPr>
        <w:t>2020年预算数</w:t>
      </w:r>
      <w:r>
        <w:rPr>
          <w:rFonts w:hint="eastAsia" w:ascii="仿宋_GB2312" w:eastAsia="仿宋_GB2312"/>
          <w:sz w:val="32"/>
          <w:szCs w:val="32"/>
          <w:lang w:val="en-US" w:eastAsia="zh-CN"/>
        </w:rPr>
        <w:t>0.00</w:t>
      </w:r>
      <w:r>
        <w:rPr>
          <w:rFonts w:hint="eastAsia" w:ascii="仿宋_GB2312" w:eastAsia="仿宋_GB2312"/>
          <w:sz w:val="32"/>
          <w:szCs w:val="32"/>
        </w:rPr>
        <w:t>万元，同比</w:t>
      </w:r>
      <w:r>
        <w:rPr>
          <w:rFonts w:hint="eastAsia" w:ascii="仿宋_GB2312" w:eastAsia="仿宋_GB2312"/>
          <w:sz w:val="32"/>
          <w:szCs w:val="32"/>
          <w:lang w:eastAsia="zh-CN"/>
        </w:rPr>
        <w:t>无变动</w:t>
      </w:r>
      <w:r>
        <w:rPr>
          <w:rFonts w:hint="eastAsia" w:ascii="仿宋_GB2312" w:eastAsia="仿宋_GB2312"/>
          <w:sz w:val="32"/>
          <w:szCs w:val="32"/>
        </w:rPr>
        <w:t>，其中：公务用车购置费2020年预算数</w:t>
      </w:r>
      <w:r>
        <w:rPr>
          <w:rFonts w:hint="eastAsia" w:ascii="仿宋_GB2312" w:eastAsia="仿宋_GB2312"/>
          <w:sz w:val="32"/>
          <w:szCs w:val="32"/>
          <w:lang w:val="en-US" w:eastAsia="zh-CN"/>
        </w:rPr>
        <w:t>0.00</w:t>
      </w:r>
      <w:r>
        <w:rPr>
          <w:rFonts w:hint="eastAsia" w:ascii="仿宋_GB2312" w:eastAsia="仿宋_GB2312"/>
          <w:sz w:val="32"/>
          <w:szCs w:val="32"/>
        </w:rPr>
        <w:t>万元，同比</w:t>
      </w:r>
      <w:r>
        <w:rPr>
          <w:rFonts w:hint="eastAsia" w:ascii="仿宋_GB2312" w:eastAsia="仿宋_GB2312"/>
          <w:sz w:val="32"/>
          <w:szCs w:val="32"/>
          <w:lang w:eastAsia="zh-CN"/>
        </w:rPr>
        <w:t>无变动，原因为无公车购置计划</w:t>
      </w:r>
      <w:r>
        <w:rPr>
          <w:rFonts w:hint="eastAsia" w:ascii="仿宋_GB2312" w:eastAsia="仿宋_GB2312"/>
          <w:sz w:val="32"/>
          <w:szCs w:val="32"/>
        </w:rPr>
        <w:t>；公务用车运行维护费2020年预算数</w:t>
      </w:r>
      <w:r>
        <w:rPr>
          <w:rFonts w:hint="eastAsia" w:ascii="仿宋_GB2312" w:eastAsia="仿宋_GB2312"/>
          <w:sz w:val="32"/>
          <w:szCs w:val="32"/>
          <w:lang w:val="en-US" w:eastAsia="zh-CN"/>
        </w:rPr>
        <w:t>0.00</w:t>
      </w:r>
      <w:r>
        <w:rPr>
          <w:rFonts w:hint="eastAsia" w:ascii="仿宋_GB2312" w:eastAsia="仿宋_GB2312"/>
          <w:sz w:val="32"/>
          <w:szCs w:val="32"/>
        </w:rPr>
        <w:t>万元，同比</w:t>
      </w:r>
      <w:r>
        <w:rPr>
          <w:rFonts w:hint="eastAsia" w:ascii="仿宋_GB2312" w:eastAsia="仿宋_GB2312"/>
          <w:sz w:val="32"/>
          <w:szCs w:val="32"/>
          <w:lang w:eastAsia="zh-CN"/>
        </w:rPr>
        <w:t>无变动</w:t>
      </w:r>
      <w:r>
        <w:rPr>
          <w:rFonts w:hint="eastAsia" w:ascii="仿宋_GB2312" w:eastAsia="仿宋_GB2312"/>
          <w:sz w:val="32"/>
          <w:szCs w:val="32"/>
        </w:rPr>
        <w:t>，原因为</w:t>
      </w:r>
      <w:r>
        <w:rPr>
          <w:rFonts w:hint="eastAsia" w:ascii="仿宋_GB2312" w:eastAsia="仿宋_GB2312"/>
          <w:sz w:val="32"/>
          <w:szCs w:val="32"/>
          <w:lang w:eastAsia="zh-CN"/>
        </w:rPr>
        <w:t>现单位名下无公务用车。</w:t>
      </w:r>
    </w:p>
    <w:p>
      <w:pPr>
        <w:widowControl/>
        <w:numPr>
          <w:ilvl w:val="0"/>
          <w:numId w:val="1"/>
        </w:numPr>
        <w:adjustRightInd w:val="0"/>
        <w:spacing w:line="440" w:lineRule="exact"/>
        <w:ind w:firstLine="703" w:firstLineChars="200"/>
        <w:jc w:val="left"/>
        <w:rPr>
          <w:rFonts w:hint="eastAsia" w:ascii="仿宋_GB2312" w:hAnsi="宋体" w:eastAsia="仿宋_GB2312" w:cs="宋体"/>
          <w:b/>
          <w:color w:val="000000"/>
          <w:spacing w:val="15"/>
          <w:kern w:val="0"/>
          <w:sz w:val="32"/>
          <w:szCs w:val="32"/>
          <w:lang w:val="en-US" w:eastAsia="zh-CN"/>
        </w:rPr>
      </w:pPr>
      <w:r>
        <w:rPr>
          <w:rFonts w:hint="eastAsia" w:ascii="仿宋_GB2312" w:hAnsi="宋体" w:eastAsia="仿宋_GB2312" w:cs="宋体"/>
          <w:b/>
          <w:color w:val="000000"/>
          <w:spacing w:val="15"/>
          <w:kern w:val="0"/>
          <w:sz w:val="32"/>
          <w:szCs w:val="32"/>
          <w:lang w:val="en-US" w:eastAsia="zh-CN"/>
        </w:rPr>
        <w:t>预算绩效管理情况说明</w:t>
      </w:r>
    </w:p>
    <w:p>
      <w:pPr>
        <w:widowControl/>
        <w:numPr>
          <w:ilvl w:val="0"/>
          <w:numId w:val="0"/>
        </w:numPr>
        <w:adjustRightInd w:val="0"/>
        <w:spacing w:line="440" w:lineRule="exact"/>
        <w:ind w:firstLine="700" w:firstLineChars="200"/>
        <w:jc w:val="left"/>
        <w:rPr>
          <w:rFonts w:hint="eastAsia" w:ascii="仿宋_GB2312" w:hAnsi="宋体" w:eastAsia="仿宋_GB2312" w:cs="宋体"/>
          <w:b w:val="0"/>
          <w:bCs/>
          <w:color w:val="000000"/>
          <w:spacing w:val="15"/>
          <w:kern w:val="0"/>
          <w:sz w:val="32"/>
          <w:szCs w:val="32"/>
          <w:lang w:val="en-US" w:eastAsia="zh-CN"/>
        </w:rPr>
      </w:pPr>
      <w:r>
        <w:rPr>
          <w:rFonts w:hint="eastAsia" w:ascii="仿宋_GB2312" w:hAnsi="宋体" w:eastAsia="仿宋_GB2312" w:cs="宋体"/>
          <w:b w:val="0"/>
          <w:bCs/>
          <w:color w:val="000000"/>
          <w:spacing w:val="15"/>
          <w:kern w:val="0"/>
          <w:sz w:val="32"/>
          <w:szCs w:val="32"/>
          <w:lang w:val="en-US" w:eastAsia="zh-CN"/>
        </w:rPr>
        <w:t>2020年，北京市丰台区南苑乡人民政府对2019年度部门项目(200万以下的房租类、人员聘用类及中央、市级专项转移支付除外)支出实施了绩效评价，因新冠疫情影响，绩效评价分两批次进行，经合并相同项目共计98个项目，占部门项目总数的100%。</w:t>
      </w:r>
    </w:p>
    <w:p>
      <w:pPr>
        <w:widowControl/>
        <w:numPr>
          <w:ilvl w:val="0"/>
          <w:numId w:val="0"/>
        </w:numPr>
        <w:adjustRightInd w:val="0"/>
        <w:spacing w:line="440" w:lineRule="exact"/>
        <w:jc w:val="left"/>
        <w:rPr>
          <w:rFonts w:hint="eastAsia" w:ascii="仿宋_GB2312" w:hAnsi="宋体" w:eastAsia="仿宋_GB2312" w:cs="宋体"/>
          <w:b w:val="0"/>
          <w:bCs/>
          <w:color w:val="000000"/>
          <w:spacing w:val="15"/>
          <w:kern w:val="0"/>
          <w:sz w:val="32"/>
          <w:szCs w:val="32"/>
          <w:lang w:val="en-US" w:eastAsia="zh-CN"/>
        </w:rPr>
      </w:pPr>
      <w:r>
        <w:rPr>
          <w:rFonts w:hint="eastAsia" w:ascii="仿宋_GB2312" w:hAnsi="宋体" w:eastAsia="仿宋_GB2312" w:cs="宋体"/>
          <w:b w:val="0"/>
          <w:bCs/>
          <w:color w:val="000000"/>
          <w:spacing w:val="15"/>
          <w:kern w:val="0"/>
          <w:sz w:val="32"/>
          <w:szCs w:val="32"/>
          <w:lang w:val="en-US" w:eastAsia="zh-CN"/>
        </w:rPr>
        <w:t>第一批次5-7月进行，共评价项目36个，占部门项目总数的36.7%，涉及金额26,159.82万元。其中，普通程序评价项目1个，涉及金额1090万元，评价得分81.2分，评价；简易程序评价项目35个，涉及金额25069.82万元，评价得分在90分（含90分）以上的31个、评价得分在75-90分（含75分）的2个。7月我乡撰写提交了《2020年南苑乡预算绩效评价工作开展情况》，并随2019年决算信息在政务网站公开。</w:t>
      </w:r>
    </w:p>
    <w:p>
      <w:pPr>
        <w:widowControl/>
        <w:numPr>
          <w:ilvl w:val="0"/>
          <w:numId w:val="0"/>
        </w:numPr>
        <w:adjustRightInd w:val="0"/>
        <w:spacing w:line="440" w:lineRule="exact"/>
        <w:jc w:val="left"/>
        <w:rPr>
          <w:rFonts w:hint="eastAsia" w:ascii="仿宋_GB2312" w:hAnsi="宋体" w:eastAsia="仿宋_GB2312" w:cs="宋体"/>
          <w:b w:val="0"/>
          <w:bCs/>
          <w:color w:val="000000"/>
          <w:spacing w:val="15"/>
          <w:kern w:val="0"/>
          <w:sz w:val="32"/>
          <w:szCs w:val="32"/>
          <w:lang w:val="en-US" w:eastAsia="zh-CN"/>
        </w:rPr>
      </w:pPr>
      <w:r>
        <w:rPr>
          <w:rFonts w:hint="eastAsia" w:ascii="仿宋_GB2312" w:hAnsi="宋体" w:eastAsia="仿宋_GB2312" w:cs="宋体"/>
          <w:b w:val="0"/>
          <w:bCs/>
          <w:color w:val="000000"/>
          <w:spacing w:val="15"/>
          <w:kern w:val="0"/>
          <w:sz w:val="32"/>
          <w:szCs w:val="32"/>
          <w:lang w:val="en-US" w:eastAsia="zh-CN"/>
        </w:rPr>
        <w:t>第二批次8-10月进行，共评价项目62个，占部门项目总数的73.3%.本批次均为简易程序评价，涉及金额元，评价得分在90分（含90分）以上的35个、评价得分在75-90分（含75分）的27个。</w:t>
      </w:r>
    </w:p>
    <w:p>
      <w:pPr>
        <w:widowControl/>
        <w:numPr>
          <w:ilvl w:val="0"/>
          <w:numId w:val="0"/>
        </w:numPr>
        <w:adjustRightInd w:val="0"/>
        <w:spacing w:line="440" w:lineRule="exact"/>
        <w:jc w:val="left"/>
        <w:rPr>
          <w:rFonts w:hint="eastAsia" w:ascii="黑体" w:hAnsi="宋体" w:eastAsia="黑体" w:cs="宋体"/>
          <w:b/>
          <w:color w:val="000000"/>
          <w:spacing w:val="15"/>
          <w:kern w:val="0"/>
          <w:sz w:val="32"/>
          <w:szCs w:val="32"/>
        </w:rPr>
      </w:pPr>
      <w:r>
        <w:rPr>
          <w:rFonts w:hint="eastAsia" w:ascii="仿宋_GB2312" w:hAnsi="宋体" w:eastAsia="仿宋_GB2312" w:cs="宋体"/>
          <w:b/>
          <w:color w:val="000000"/>
          <w:spacing w:val="15"/>
          <w:kern w:val="0"/>
          <w:sz w:val="32"/>
          <w:szCs w:val="32"/>
          <w:lang w:val="en-US" w:eastAsia="zh-CN"/>
        </w:rPr>
        <w:t xml:space="preserve">  十、</w:t>
      </w:r>
      <w:r>
        <w:rPr>
          <w:rFonts w:hint="eastAsia" w:ascii="黑体" w:hAnsi="宋体" w:eastAsia="黑体" w:cs="宋体"/>
          <w:b/>
          <w:color w:val="000000"/>
          <w:spacing w:val="15"/>
          <w:kern w:val="0"/>
          <w:sz w:val="32"/>
          <w:szCs w:val="32"/>
        </w:rPr>
        <w:t>其他事项说明</w:t>
      </w:r>
    </w:p>
    <w:p>
      <w:pPr>
        <w:widowControl/>
        <w:adjustRightInd w:val="0"/>
        <w:spacing w:line="440" w:lineRule="exact"/>
        <w:ind w:firstLine="351" w:firstLineChars="100"/>
        <w:jc w:val="both"/>
        <w:rPr>
          <w:rFonts w:hint="eastAsia"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lang w:eastAsia="zh-CN"/>
        </w:rPr>
        <w:t>十一、</w:t>
      </w:r>
      <w:r>
        <w:rPr>
          <w:rFonts w:hint="eastAsia" w:ascii="仿宋_GB2312" w:hAnsi="宋体" w:eastAsia="仿宋_GB2312" w:cs="宋体"/>
          <w:b/>
          <w:color w:val="000000"/>
          <w:spacing w:val="15"/>
          <w:kern w:val="0"/>
          <w:sz w:val="32"/>
          <w:szCs w:val="32"/>
        </w:rPr>
        <w:t>专业名词解释</w:t>
      </w:r>
    </w:p>
    <w:p>
      <w:pPr>
        <w:widowControl/>
        <w:adjustRightInd w:val="0"/>
        <w:spacing w:line="560" w:lineRule="exact"/>
        <w:jc w:val="left"/>
        <w:rPr>
          <w:rFonts w:hint="eastAsia" w:ascii="仿宋_GB2312" w:hAnsi="宋体" w:eastAsia="仿宋_GB2312" w:cs="宋体"/>
          <w:b/>
          <w:color w:val="000000"/>
          <w:spacing w:val="15"/>
          <w:kern w:val="0"/>
          <w:sz w:val="32"/>
          <w:szCs w:val="32"/>
        </w:rPr>
      </w:pP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预算：</w:t>
      </w:r>
      <w:r>
        <w:rPr>
          <w:rFonts w:hint="eastAsia" w:ascii="仿宋_GB2312" w:hAnsi="Calibri" w:eastAsia="仿宋_GB2312"/>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政府预算体系：</w:t>
      </w:r>
      <w:r>
        <w:rPr>
          <w:rFonts w:hint="eastAsia" w:ascii="仿宋_GB2312" w:hAnsi="Calibri" w:eastAsia="仿宋_GB2312"/>
          <w:sz w:val="30"/>
          <w:szCs w:val="30"/>
        </w:rPr>
        <w:t>由一般公共预算、政府性基金预算、国有资本经营预算和社会保险基金预算共同组成。四本预算保持完整、独立并相衔接，全面反映政府收支总量、结构和管理活动。</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一般公共预算：</w:t>
      </w:r>
      <w:r>
        <w:rPr>
          <w:rFonts w:hint="eastAsia" w:ascii="仿宋_GB2312" w:hAnsi="Calibri" w:eastAsia="仿宋_GB2312"/>
          <w:sz w:val="30"/>
          <w:szCs w:val="30"/>
        </w:rPr>
        <w:t>对以税收为主体的财政收入，安排用于保障和改善民生、推动经济社会发展、维护国家安全、维持国家机构正常运转等方面的收支预算。</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政府性基金预算：</w:t>
      </w:r>
      <w:r>
        <w:rPr>
          <w:rFonts w:hint="eastAsia" w:ascii="仿宋_GB2312" w:hAnsi="Calibri" w:eastAsia="仿宋_GB2312"/>
          <w:sz w:val="30"/>
          <w:szCs w:val="30"/>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部门预算:</w:t>
      </w:r>
      <w:r>
        <w:rPr>
          <w:rFonts w:hint="eastAsia" w:ascii="仿宋_GB2312" w:hAnsi="Calibri" w:eastAsia="仿宋_GB2312"/>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 xml:space="preserve">政府采购: </w:t>
      </w:r>
      <w:r>
        <w:rPr>
          <w:rFonts w:hint="eastAsia" w:ascii="仿宋_GB2312" w:hAnsi="Calibri" w:eastAsia="仿宋_GB2312"/>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预算绩效管理：</w:t>
      </w:r>
      <w:r>
        <w:rPr>
          <w:rFonts w:hint="eastAsia" w:ascii="仿宋_GB2312" w:hAnsi="Calibri" w:eastAsia="仿宋_GB2312"/>
          <w:sz w:val="30"/>
          <w:szCs w:val="30"/>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财政投资评审：</w:t>
      </w:r>
      <w:r>
        <w:rPr>
          <w:rFonts w:hint="eastAsia" w:ascii="仿宋_GB2312" w:hAnsi="Calibri" w:eastAsia="仿宋_GB2312"/>
          <w:sz w:val="30"/>
          <w:szCs w:val="30"/>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“三公”经费：</w:t>
      </w:r>
      <w:r>
        <w:rPr>
          <w:rFonts w:hint="eastAsia" w:ascii="仿宋_GB2312" w:hAnsi="Calibri" w:eastAsia="仿宋_GB2312"/>
          <w:sz w:val="30"/>
          <w:szCs w:val="30"/>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政府购买服务</w:t>
      </w:r>
      <w:bookmarkStart w:id="0" w:name="_GoBack"/>
      <w:bookmarkEnd w:id="0"/>
      <w:r>
        <w:rPr>
          <w:rFonts w:hint="eastAsia" w:ascii="仿宋_GB2312" w:hAnsi="Calibri" w:eastAsia="仿宋_GB2312"/>
          <w:b/>
          <w:sz w:val="30"/>
          <w:szCs w:val="30"/>
        </w:rPr>
        <w:t>：</w:t>
      </w:r>
      <w:r>
        <w:rPr>
          <w:rFonts w:hint="eastAsia" w:ascii="仿宋_GB2312" w:hAnsi="Calibri" w:eastAsia="仿宋_GB2312"/>
          <w:sz w:val="30"/>
          <w:szCs w:val="30"/>
        </w:rPr>
        <w:t>指通过发挥市场机制作用，把政府直接向社会公众提供的公共服务等事项，按照一定的方式和程序，交由具备条件的社会力量承担，并由政府根据服务数量和质量向其支付费用。</w:t>
      </w:r>
    </w:p>
    <w:p>
      <w:pPr>
        <w:spacing w:line="480" w:lineRule="exact"/>
        <w:ind w:firstLine="602" w:firstLineChars="200"/>
        <w:rPr>
          <w:rFonts w:hint="eastAsia" w:ascii="仿宋_GB2312" w:hAnsi="Calibri" w:eastAsia="仿宋_GB2312"/>
          <w:sz w:val="30"/>
          <w:szCs w:val="30"/>
        </w:rPr>
      </w:pPr>
      <w:r>
        <w:rPr>
          <w:rFonts w:hint="eastAsia" w:ascii="仿宋_GB2312" w:hAnsi="Calibri" w:eastAsia="仿宋_GB2312"/>
          <w:b/>
          <w:sz w:val="30"/>
          <w:szCs w:val="30"/>
        </w:rPr>
        <w:t>机关运行经费：</w:t>
      </w:r>
      <w:r>
        <w:rPr>
          <w:rFonts w:hint="eastAsia" w:ascii="仿宋_GB2312" w:hAnsi="Calibri" w:eastAsia="仿宋_GB2312"/>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80" w:lineRule="exact"/>
        <w:ind w:firstLine="602" w:firstLineChars="200"/>
        <w:rPr>
          <w:rFonts w:ascii="仿宋_GB2312" w:hAnsi="Calibri" w:eastAsia="仿宋_GB2312"/>
          <w:sz w:val="30"/>
          <w:szCs w:val="30"/>
        </w:rPr>
      </w:pPr>
      <w:r>
        <w:rPr>
          <w:rFonts w:hint="eastAsia" w:ascii="仿宋_GB2312" w:hAnsi="Calibri" w:eastAsia="仿宋_GB2312"/>
          <w:b/>
          <w:sz w:val="30"/>
          <w:szCs w:val="30"/>
        </w:rPr>
        <w:t>部门整体支出绩效评价：</w:t>
      </w:r>
      <w:r>
        <w:rPr>
          <w:rFonts w:hint="eastAsia" w:ascii="仿宋_GB2312" w:hAnsi="Calibri" w:eastAsia="仿宋_GB2312"/>
          <w:sz w:val="30"/>
          <w:szCs w:val="30"/>
        </w:rPr>
        <w:t>是对包括部门整体基本支出和项目支出在内的整体预算支出的绩效评价，评价以项目支出为重点。一般以预算年度为周期，对跨年度的重点项目可根据项目支出完成情况实施阶段性评价。</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A9B8A"/>
    <w:multiLevelType w:val="singleLevel"/>
    <w:tmpl w:val="F6AA9B8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c97d5f62-bfca-49ff-9503-149d9bb91794"/>
  </w:docVars>
  <w:rsids>
    <w:rsidRoot w:val="00B216CA"/>
    <w:rsid w:val="00006093"/>
    <w:rsid w:val="0002206B"/>
    <w:rsid w:val="0005310A"/>
    <w:rsid w:val="00053526"/>
    <w:rsid w:val="000716D8"/>
    <w:rsid w:val="000753D3"/>
    <w:rsid w:val="000847A3"/>
    <w:rsid w:val="000A7926"/>
    <w:rsid w:val="000B45CC"/>
    <w:rsid w:val="000D4F2D"/>
    <w:rsid w:val="000D5B6A"/>
    <w:rsid w:val="000E2F77"/>
    <w:rsid w:val="000E7FB5"/>
    <w:rsid w:val="00117039"/>
    <w:rsid w:val="00121660"/>
    <w:rsid w:val="00123870"/>
    <w:rsid w:val="00124752"/>
    <w:rsid w:val="00142EB2"/>
    <w:rsid w:val="001462CB"/>
    <w:rsid w:val="00151199"/>
    <w:rsid w:val="00161E80"/>
    <w:rsid w:val="001C4FDB"/>
    <w:rsid w:val="001F2007"/>
    <w:rsid w:val="00212936"/>
    <w:rsid w:val="0023098B"/>
    <w:rsid w:val="00231621"/>
    <w:rsid w:val="00234471"/>
    <w:rsid w:val="002401C0"/>
    <w:rsid w:val="0024417E"/>
    <w:rsid w:val="00270FF9"/>
    <w:rsid w:val="00271EBC"/>
    <w:rsid w:val="00273DC9"/>
    <w:rsid w:val="00293FF3"/>
    <w:rsid w:val="002A69A3"/>
    <w:rsid w:val="002A6CAD"/>
    <w:rsid w:val="002A7284"/>
    <w:rsid w:val="0031191E"/>
    <w:rsid w:val="00324967"/>
    <w:rsid w:val="00343486"/>
    <w:rsid w:val="003B0F4C"/>
    <w:rsid w:val="003B247C"/>
    <w:rsid w:val="003C01E4"/>
    <w:rsid w:val="003C064B"/>
    <w:rsid w:val="003C1FE2"/>
    <w:rsid w:val="003D026D"/>
    <w:rsid w:val="003D174B"/>
    <w:rsid w:val="003E0662"/>
    <w:rsid w:val="003E3F40"/>
    <w:rsid w:val="004249F5"/>
    <w:rsid w:val="004257F5"/>
    <w:rsid w:val="00440E34"/>
    <w:rsid w:val="00440E8E"/>
    <w:rsid w:val="00447425"/>
    <w:rsid w:val="004709DD"/>
    <w:rsid w:val="00483669"/>
    <w:rsid w:val="00496C6B"/>
    <w:rsid w:val="004A470E"/>
    <w:rsid w:val="004F4E38"/>
    <w:rsid w:val="00506A0A"/>
    <w:rsid w:val="0055299C"/>
    <w:rsid w:val="00554C47"/>
    <w:rsid w:val="00564DF9"/>
    <w:rsid w:val="005911E9"/>
    <w:rsid w:val="00597F2A"/>
    <w:rsid w:val="005A791A"/>
    <w:rsid w:val="005B2187"/>
    <w:rsid w:val="005B4B1C"/>
    <w:rsid w:val="005C7051"/>
    <w:rsid w:val="005D6229"/>
    <w:rsid w:val="005E420A"/>
    <w:rsid w:val="005E75AE"/>
    <w:rsid w:val="005F1980"/>
    <w:rsid w:val="006135D2"/>
    <w:rsid w:val="0066493A"/>
    <w:rsid w:val="006666B4"/>
    <w:rsid w:val="00675693"/>
    <w:rsid w:val="00682731"/>
    <w:rsid w:val="00684C8E"/>
    <w:rsid w:val="00694C46"/>
    <w:rsid w:val="006A4177"/>
    <w:rsid w:val="006B1EF0"/>
    <w:rsid w:val="006B3148"/>
    <w:rsid w:val="006D4BF4"/>
    <w:rsid w:val="006E0D3D"/>
    <w:rsid w:val="007006D0"/>
    <w:rsid w:val="00707A00"/>
    <w:rsid w:val="00720828"/>
    <w:rsid w:val="00732307"/>
    <w:rsid w:val="007335BC"/>
    <w:rsid w:val="007400E0"/>
    <w:rsid w:val="00741070"/>
    <w:rsid w:val="00747F9E"/>
    <w:rsid w:val="0075226A"/>
    <w:rsid w:val="00763056"/>
    <w:rsid w:val="00790A99"/>
    <w:rsid w:val="007A2FFD"/>
    <w:rsid w:val="007A47FC"/>
    <w:rsid w:val="007B44E6"/>
    <w:rsid w:val="007C0A32"/>
    <w:rsid w:val="007C7153"/>
    <w:rsid w:val="007D4A54"/>
    <w:rsid w:val="007D67BC"/>
    <w:rsid w:val="00822793"/>
    <w:rsid w:val="00830F65"/>
    <w:rsid w:val="0083537F"/>
    <w:rsid w:val="00861DE2"/>
    <w:rsid w:val="00870491"/>
    <w:rsid w:val="008738F8"/>
    <w:rsid w:val="008833B1"/>
    <w:rsid w:val="008B3FBB"/>
    <w:rsid w:val="00902E43"/>
    <w:rsid w:val="00916833"/>
    <w:rsid w:val="0093100A"/>
    <w:rsid w:val="009348A5"/>
    <w:rsid w:val="00945800"/>
    <w:rsid w:val="009500E8"/>
    <w:rsid w:val="00950600"/>
    <w:rsid w:val="009534F9"/>
    <w:rsid w:val="009737A6"/>
    <w:rsid w:val="00985CC1"/>
    <w:rsid w:val="009911EC"/>
    <w:rsid w:val="009934B2"/>
    <w:rsid w:val="009A2285"/>
    <w:rsid w:val="009A6932"/>
    <w:rsid w:val="009A7476"/>
    <w:rsid w:val="009B3EAF"/>
    <w:rsid w:val="009B6C26"/>
    <w:rsid w:val="009E443E"/>
    <w:rsid w:val="009E5351"/>
    <w:rsid w:val="009E7BE4"/>
    <w:rsid w:val="00A005AE"/>
    <w:rsid w:val="00A11341"/>
    <w:rsid w:val="00A44116"/>
    <w:rsid w:val="00A60B77"/>
    <w:rsid w:val="00A746E8"/>
    <w:rsid w:val="00A86284"/>
    <w:rsid w:val="00A868F4"/>
    <w:rsid w:val="00AA1784"/>
    <w:rsid w:val="00AA4A56"/>
    <w:rsid w:val="00AB2D9C"/>
    <w:rsid w:val="00AC26D8"/>
    <w:rsid w:val="00AC2D7D"/>
    <w:rsid w:val="00AD0EB4"/>
    <w:rsid w:val="00AD2AE5"/>
    <w:rsid w:val="00AD745E"/>
    <w:rsid w:val="00AF300D"/>
    <w:rsid w:val="00AF462E"/>
    <w:rsid w:val="00B04186"/>
    <w:rsid w:val="00B0727F"/>
    <w:rsid w:val="00B216CA"/>
    <w:rsid w:val="00B3738E"/>
    <w:rsid w:val="00B44F4B"/>
    <w:rsid w:val="00B60B16"/>
    <w:rsid w:val="00B66751"/>
    <w:rsid w:val="00B81B7E"/>
    <w:rsid w:val="00B82585"/>
    <w:rsid w:val="00B8684D"/>
    <w:rsid w:val="00B86AB2"/>
    <w:rsid w:val="00BA47E3"/>
    <w:rsid w:val="00BC7F77"/>
    <w:rsid w:val="00BD4403"/>
    <w:rsid w:val="00BE0D19"/>
    <w:rsid w:val="00BF2B46"/>
    <w:rsid w:val="00BF3019"/>
    <w:rsid w:val="00C01321"/>
    <w:rsid w:val="00C111E3"/>
    <w:rsid w:val="00C142E2"/>
    <w:rsid w:val="00C220C2"/>
    <w:rsid w:val="00C27ACE"/>
    <w:rsid w:val="00C32DF3"/>
    <w:rsid w:val="00C3437A"/>
    <w:rsid w:val="00C35B99"/>
    <w:rsid w:val="00C65F37"/>
    <w:rsid w:val="00C712E1"/>
    <w:rsid w:val="00C9244E"/>
    <w:rsid w:val="00CA6D6A"/>
    <w:rsid w:val="00CB76FF"/>
    <w:rsid w:val="00CE0DE2"/>
    <w:rsid w:val="00CE2E9A"/>
    <w:rsid w:val="00CF307C"/>
    <w:rsid w:val="00D06AAA"/>
    <w:rsid w:val="00D13B03"/>
    <w:rsid w:val="00D56B79"/>
    <w:rsid w:val="00D57ED7"/>
    <w:rsid w:val="00D6094E"/>
    <w:rsid w:val="00D70225"/>
    <w:rsid w:val="00DB24A4"/>
    <w:rsid w:val="00DC1647"/>
    <w:rsid w:val="00DC1D93"/>
    <w:rsid w:val="00DC6C1B"/>
    <w:rsid w:val="00DD0642"/>
    <w:rsid w:val="00DF7F3C"/>
    <w:rsid w:val="00E02DDB"/>
    <w:rsid w:val="00E20AD7"/>
    <w:rsid w:val="00E40E6F"/>
    <w:rsid w:val="00E41AAF"/>
    <w:rsid w:val="00E4570A"/>
    <w:rsid w:val="00E549B7"/>
    <w:rsid w:val="00E56BFB"/>
    <w:rsid w:val="00E61E3D"/>
    <w:rsid w:val="00E65E31"/>
    <w:rsid w:val="00E9181B"/>
    <w:rsid w:val="00E9454D"/>
    <w:rsid w:val="00E94588"/>
    <w:rsid w:val="00EA1A30"/>
    <w:rsid w:val="00EA7F9D"/>
    <w:rsid w:val="00EB317B"/>
    <w:rsid w:val="00EC2246"/>
    <w:rsid w:val="00EC7D78"/>
    <w:rsid w:val="00ED654F"/>
    <w:rsid w:val="00F22786"/>
    <w:rsid w:val="00F23B33"/>
    <w:rsid w:val="00F24415"/>
    <w:rsid w:val="00F429D8"/>
    <w:rsid w:val="00F701E1"/>
    <w:rsid w:val="00F90AE6"/>
    <w:rsid w:val="00F94CDD"/>
    <w:rsid w:val="00FB1E62"/>
    <w:rsid w:val="00FC3945"/>
    <w:rsid w:val="00FF5747"/>
    <w:rsid w:val="00FF767F"/>
    <w:rsid w:val="02332D8E"/>
    <w:rsid w:val="025E14E9"/>
    <w:rsid w:val="06A83863"/>
    <w:rsid w:val="2B2D64D0"/>
    <w:rsid w:val="43D06074"/>
    <w:rsid w:val="4B022032"/>
    <w:rsid w:val="5C433B70"/>
    <w:rsid w:val="5F2D34D6"/>
    <w:rsid w:val="676A0921"/>
    <w:rsid w:val="678508E4"/>
    <w:rsid w:val="6D43005D"/>
    <w:rsid w:val="73135A68"/>
    <w:rsid w:val="760819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link w:val="4"/>
    <w:qFormat/>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3572</Words>
  <Characters>3956</Characters>
  <Lines>6</Lines>
  <Paragraphs>1</Paragraphs>
  <TotalTime>2</TotalTime>
  <ScaleCrop>false</ScaleCrop>
  <LinksUpToDate>false</LinksUpToDate>
  <CharactersWithSpaces>3983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2016-12-08T01:57:00Z</dcterms:created>
  <dc:creator>贾志芳</dc:creator>
  <cp:lastModifiedBy>血月舞殇</cp:lastModifiedBy>
  <cp:lastPrinted>2019-01-18T07:47:00Z</cp:lastPrinted>
  <dcterms:modified xsi:type="dcterms:W3CDTF">2025-03-27T02:21:50Z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6EE7146F2862409A991BA1BF7CBDCE71</vt:lpwstr>
  </property>
</Properties>
</file>