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目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  录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3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第一部分  2021年部门预算编制说明</w:t>
      </w: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一、北京市丰台区产城融合发展协调指导中心基本情况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二、2021年收入及支出总体情况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三、主要支出内容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四、政府采购情况说明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五、机关运行经费财政拨款预算安排说明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六、行政事业性收费重点项目信息说明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七、固定资产占用使用情况说明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八、预算绩效管理情况说明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九、其他事项说明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十、专业名词解释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1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第二部分  2021年部门预算表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0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一、部门预算编制说明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     二、收支预算总表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     三、收入预算总表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     四、支出预算总表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     五、财政拨款收支预算总表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     六、财政拨款收入预算总表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   七、财政拨款支出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预算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总表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   八、一般公共预算支出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预算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    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九、政府性基金预算支出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预算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   十、财政拨款基本支出经济分类预算表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   十一、“三公经费”预算财政拨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款情况说明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   十二、“三公经费”预算财政拨款情况表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   十三、项目支出预算表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     十四、部门整体支出绩效目标表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shd w:val="clear" w:fill="FFFFFF"/>
        </w:rPr>
        <w:t>     十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shd w:val="clear" w:fill="FFFFFF"/>
        </w:rPr>
        <w:t>、项目支出绩效目标表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B7A3A"/>
    <w:rsid w:val="1F6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2022-09-14T01:06:00Z</dcterms:created>
  <dc:creator>liuqin</dc:creator>
  <cp:lastModifiedBy>liuqin</cp:lastModifiedBy>
  <dcterms:modified xsi:type="dcterms:W3CDTF">2022-09-14T01:14:34Z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