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1-10月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五</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十二</w:t>
      </w:r>
      <w:r>
        <w:rPr>
          <w:rFonts w:hint="eastAsia" w:ascii="楷体_GB2312" w:eastAsia="楷体_GB2312"/>
          <w:sz w:val="32"/>
          <w:szCs w:val="32"/>
        </w:rPr>
        <w:t>月</w:t>
      </w:r>
      <w:r>
        <w:rPr>
          <w:rFonts w:hint="eastAsia" w:ascii="楷体_GB2312" w:eastAsia="楷体_GB2312"/>
          <w:sz w:val="32"/>
          <w:szCs w:val="32"/>
          <w:lang w:eastAsia="zh-CN"/>
        </w:rPr>
        <w:t>九</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w:t>
      </w:r>
      <w:r>
        <w:rPr>
          <w:rFonts w:hint="eastAsia" w:ascii="仿宋_GB2312" w:eastAsia="仿宋_GB2312"/>
          <w:sz w:val="32"/>
          <w:szCs w:val="32"/>
          <w:lang w:eastAsia="zh-CN"/>
        </w:rPr>
        <w:t>1-10月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422</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实现总收入</w:t>
      </w:r>
      <w:r>
        <w:rPr>
          <w:rFonts w:hint="eastAsia" w:ascii="仿宋_GB2312" w:eastAsia="仿宋_GB2312"/>
          <w:snapToGrid w:val="0"/>
          <w:kern w:val="0"/>
          <w:sz w:val="32"/>
          <w:szCs w:val="32"/>
          <w:lang w:val="en-US" w:eastAsia="zh-CN"/>
        </w:rPr>
        <w:t>4231.1</w:t>
      </w:r>
      <w:r>
        <w:rPr>
          <w:rFonts w:hint="eastAsia" w:ascii="仿宋_GB2312" w:hAnsi="宋体" w:eastAsia="仿宋_GB2312" w:cs="Times New Roman"/>
          <w:sz w:val="32"/>
          <w:szCs w:val="32"/>
        </w:rPr>
        <w:t>亿元，同比</w:t>
      </w:r>
      <w:r>
        <w:rPr>
          <w:rFonts w:hint="eastAsia" w:ascii="仿宋_GB2312" w:hAnsi="宋体" w:eastAsia="仿宋_GB2312" w:cs="Times New Roman"/>
          <w:sz w:val="32"/>
          <w:szCs w:val="32"/>
          <w:lang w:eastAsia="zh-CN"/>
        </w:rPr>
        <w:t>下降</w:t>
      </w:r>
      <w:r>
        <w:rPr>
          <w:rFonts w:hint="eastAsia" w:ascii="仿宋_GB2312" w:hAnsi="宋体" w:eastAsia="仿宋_GB2312" w:cs="Times New Roman"/>
          <w:sz w:val="32"/>
          <w:szCs w:val="32"/>
          <w:lang w:val="en-US" w:eastAsia="zh-CN"/>
        </w:rPr>
        <w:t>1.5</w:t>
      </w:r>
      <w:r>
        <w:rPr>
          <w:rFonts w:hint="eastAsia" w:ascii="仿宋_GB2312" w:eastAsia="仿宋_GB2312"/>
          <w:snapToGrid w:val="0"/>
          <w:kern w:val="0"/>
          <w:sz w:val="32"/>
          <w:szCs w:val="32"/>
        </w:rPr>
        <w:t>%</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2025年1-9月相比，降幅扩大0.8个百分点。</w:t>
      </w:r>
      <w:r>
        <w:rPr>
          <w:rFonts w:hint="eastAsia" w:ascii="仿宋_GB2312" w:hAnsi="宋体" w:eastAsia="仿宋_GB2312" w:cs="宋体"/>
          <w:kern w:val="0"/>
          <w:sz w:val="32"/>
          <w:szCs w:val="32"/>
        </w:rPr>
        <w:t>实现</w:t>
      </w:r>
      <w:r>
        <w:rPr>
          <w:rFonts w:hint="eastAsia" w:ascii="仿宋_GB2312" w:eastAsia="仿宋_GB2312"/>
          <w:sz w:val="32"/>
          <w:szCs w:val="32"/>
          <w:lang w:eastAsia="zh-CN"/>
        </w:rPr>
        <w:t>技术收入</w:t>
      </w:r>
      <w:r>
        <w:rPr>
          <w:rFonts w:hint="eastAsia" w:ascii="仿宋_GB2312" w:eastAsia="仿宋_GB2312"/>
          <w:sz w:val="32"/>
          <w:szCs w:val="32"/>
          <w:lang w:val="en-US" w:eastAsia="zh-CN"/>
        </w:rPr>
        <w:t>805.1亿元，同比下降2.9%，</w:t>
      </w:r>
      <w:r>
        <w:rPr>
          <w:rFonts w:hint="eastAsia" w:ascii="仿宋_GB2312" w:eastAsia="仿宋_GB2312"/>
          <w:sz w:val="32"/>
          <w:szCs w:val="32"/>
          <w:lang w:eastAsia="zh-CN"/>
        </w:rPr>
        <w:t>技术收入占总收入比重为</w:t>
      </w:r>
      <w:r>
        <w:rPr>
          <w:rFonts w:hint="eastAsia" w:ascii="仿宋_GB2312" w:eastAsia="仿宋_GB2312"/>
          <w:sz w:val="32"/>
          <w:szCs w:val="32"/>
          <w:lang w:val="en-US" w:eastAsia="zh-CN"/>
        </w:rPr>
        <w:t>19.0%。</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1-10月，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263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实现总收入1872.1亿元，同比下降0.9%</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2025年1-9月相比，降幅扩大1.8个百分点。</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1-10月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2.7万人，同比增长1.6%；研究开发费用合计84.5亿元，同比下降4.9%，与2025年1-9月相比，降幅扩大1.6个百分点。</w:t>
      </w:r>
      <w:bookmarkStart w:id="0" w:name="_GoBack"/>
      <w:bookmarkEnd w:id="0"/>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中关村示范区丰台园规模以上重点企业总收入、研究开发费用合计同比增速</w:t>
      </w:r>
    </w:p>
    <w:p>
      <w:pPr>
        <w:jc w:val="right"/>
        <w:rPr>
          <w:rFonts w:hint="eastAsia" w:asciiTheme="minorEastAsia" w:hAnsiTheme="minorEastAsia" w:cstheme="minorEastAsia"/>
          <w:sz w:val="24"/>
          <w:szCs w:val="24"/>
          <w:lang w:val="en-US" w:eastAsia="zh-CN"/>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-786765</wp:posOffset>
            </wp:positionH>
            <wp:positionV relativeFrom="paragraph">
              <wp:posOffset>480060</wp:posOffset>
            </wp:positionV>
            <wp:extent cx="6430010" cy="1952625"/>
            <wp:effectExtent l="0" t="0" r="46990" b="9525"/>
            <wp:wrapTight wrapText="bothSides">
              <wp:wrapPolygon>
                <wp:start x="0" y="0"/>
                <wp:lineTo x="0" y="21495"/>
                <wp:lineTo x="21566" y="21495"/>
                <wp:lineTo x="21566"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heme="minorEastAsia" w:hAnsiTheme="minorEastAsia" w:cstheme="minorEastAsia"/>
          <w:sz w:val="24"/>
          <w:szCs w:val="24"/>
          <w:lang w:val="en-US" w:eastAsia="zh-CN"/>
        </w:rPr>
        <w:t>单位：%</w:t>
      </w:r>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58B713F"/>
    <w:rsid w:val="07487424"/>
    <w:rsid w:val="074A00FD"/>
    <w:rsid w:val="09B25007"/>
    <w:rsid w:val="0F107FC8"/>
    <w:rsid w:val="114C2D74"/>
    <w:rsid w:val="13B911F8"/>
    <w:rsid w:val="13DB5C02"/>
    <w:rsid w:val="142619AB"/>
    <w:rsid w:val="150B3B44"/>
    <w:rsid w:val="1764570F"/>
    <w:rsid w:val="1C8C4AF4"/>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8021482"/>
    <w:rsid w:val="793F179E"/>
    <w:rsid w:val="7A3E68B2"/>
    <w:rsid w:val="7B531C40"/>
    <w:rsid w:val="7C653980"/>
    <w:rsid w:val="7CD4533D"/>
    <w:rsid w:val="7DC912FA"/>
    <w:rsid w:val="FB7F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Sheet1!$B$1</c:f>
              <c:strCache>
                <c:ptCount val="1"/>
                <c:pt idx="0">
                  <c:v>总收入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strRef>
              <c:f>Sheet1!$A$2:$A$10</c:f>
              <c:strCache>
                <c:ptCount val="9"/>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strCache>
            </c:strRef>
          </c:cat>
          <c:val>
            <c:numRef>
              <c:f>Sheet1!$B$2:$B$10</c:f>
              <c:numCache>
                <c:formatCode>0.0_ </c:formatCode>
                <c:ptCount val="9"/>
                <c:pt idx="0">
                  <c:v>-1.0473</c:v>
                </c:pt>
                <c:pt idx="1">
                  <c:v>-7.9217</c:v>
                </c:pt>
                <c:pt idx="2" c:formatCode="General">
                  <c:v>-7.5</c:v>
                </c:pt>
                <c:pt idx="3" c:formatCode="General">
                  <c:v>-4.2</c:v>
                </c:pt>
                <c:pt idx="4">
                  <c:v>-5</c:v>
                </c:pt>
                <c:pt idx="5">
                  <c:v>-6.1</c:v>
                </c:pt>
                <c:pt idx="6">
                  <c:v>-0.8</c:v>
                </c:pt>
                <c:pt idx="7">
                  <c:v>-0.7</c:v>
                </c:pt>
                <c:pt idx="8" c:formatCode="General">
                  <c:v>-1.5</c:v>
                </c:pt>
              </c:numCache>
            </c:numRef>
          </c:val>
          <c:smooth val="false"/>
        </c:ser>
        <c:ser>
          <c:idx val="1"/>
          <c:order val="1"/>
          <c:tx>
            <c:strRef>
              <c:f>Sheet1!$C$1</c:f>
              <c:strCache>
                <c:ptCount val="1"/>
                <c:pt idx="0">
                  <c:v>研究开发费用合计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true"/>
          </c:dLbls>
          <c:cat>
            <c:strRef>
              <c:f>Sheet1!$A$2:$A$10</c:f>
              <c:strCache>
                <c:ptCount val="9"/>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strCache>
            </c:strRef>
          </c:cat>
          <c:val>
            <c:numRef>
              <c:f>Sheet1!$C$2:$C$10</c:f>
              <c:numCache>
                <c:formatCode>0.0_ </c:formatCode>
                <c:ptCount val="9"/>
                <c:pt idx="0">
                  <c:v>-5.6412</c:v>
                </c:pt>
                <c:pt idx="1">
                  <c:v>-0.5092</c:v>
                </c:pt>
                <c:pt idx="2" c:formatCode="General">
                  <c:v>-1.4</c:v>
                </c:pt>
                <c:pt idx="3" c:formatCode="General">
                  <c:v>-5.4</c:v>
                </c:pt>
                <c:pt idx="4" c:formatCode="General">
                  <c:v>-7.3</c:v>
                </c:pt>
                <c:pt idx="5">
                  <c:v>-6</c:v>
                </c:pt>
                <c:pt idx="6">
                  <c:v>-5.5</c:v>
                </c:pt>
                <c:pt idx="7">
                  <c:v>-3.3</c:v>
                </c:pt>
                <c:pt idx="8" c:formatCode="General">
                  <c:v>-4.9</c:v>
                </c:pt>
              </c:numCache>
            </c:numRef>
          </c:val>
          <c:smooth val="false"/>
        </c:ser>
        <c:dLbls>
          <c:showLegendKey val="false"/>
          <c:showVal val="false"/>
          <c:showCatName val="false"/>
          <c:showSerName val="false"/>
          <c:showPercent val="false"/>
          <c:showBubbleSize val="false"/>
        </c:dLbls>
        <c:marker val="true"/>
        <c:smooth val="false"/>
        <c:axId val="208888119"/>
        <c:axId val="772063503"/>
      </c:lineChart>
      <c:catAx>
        <c:axId val="208888119"/>
        <c:scaling>
          <c:orientation val="minMax"/>
        </c:scaling>
        <c:delete val="false"/>
        <c:axPos val="b"/>
        <c:numFmt formatCode="_ &quot;€&quot;* #,##0.00_ ;_ &quot;€&quot;* \-#,##0.00_ ;_ &quot;€&quot;* &quot;-&quot;??_ ;_ @_ " sourceLinked="false"/>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true"/>
        <c:lblAlgn val="ctr"/>
        <c:lblOffset val="400"/>
        <c:tickLblSkip val="1"/>
        <c:noMultiLvlLbl val="false"/>
      </c:catAx>
      <c:valAx>
        <c:axId val="772063503"/>
        <c:scaling>
          <c:orientation val="minMax"/>
        </c:scaling>
        <c:delete val="false"/>
        <c:axPos val="l"/>
        <c:majorGridlines>
          <c:spPr>
            <a:ln w="9525" cap="flat" cmpd="sng" algn="ctr">
              <a:solidFill>
                <a:schemeClr val="bg1"/>
              </a:solidFill>
              <a:round/>
            </a:ln>
            <a:effectLst/>
          </c:spPr>
        </c:majorGridlines>
        <c:numFmt formatCode="0.0_ " sourceLinked="true"/>
        <c:majorTickMark val="out"/>
        <c:minorTickMark val="none"/>
        <c:tickLblPos val="nextTo"/>
        <c:spPr>
          <a:noFill/>
          <a:ln w="6350">
            <a:solidFill>
              <a:schemeClr val="tx1"/>
            </a:solid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zero"/>
    <c:showDLblsOverMax val="false"/>
  </c:chart>
  <c:spPr>
    <a:solidFill>
      <a:schemeClr val="bg1"/>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5</TotalTime>
  <ScaleCrop>false</ScaleCrop>
  <LinksUpToDate>false</LinksUpToDate>
  <CharactersWithSpaces>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2020-03-31T16:48:00Z</dcterms:created>
  <dc:creator>祁晶</dc:creator>
  <cp:lastModifiedBy>uos</cp:lastModifiedBy>
  <dcterms:modified xsi:type="dcterms:W3CDTF">2025-12-04T16:43:15Z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