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北京市丰台区统计局</w:t>
      </w:r>
      <w:r>
        <w:rPr>
          <w:rFonts w:hint="eastAsia" w:ascii="方正小标宋_GBK" w:eastAsia="方正小标宋_GBK"/>
          <w:sz w:val="44"/>
          <w:szCs w:val="44"/>
        </w:rPr>
        <w:t>关于公开购买第三方服务开展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政务服务大厅</w:t>
      </w:r>
      <w:r>
        <w:rPr>
          <w:rFonts w:hint="eastAsia" w:ascii="方正小标宋_GBK" w:eastAsia="方正小标宋_GBK"/>
          <w:sz w:val="44"/>
          <w:szCs w:val="44"/>
        </w:rPr>
        <w:t>名录维护工作的通知</w:t>
      </w:r>
    </w:p>
    <w:p>
      <w:pPr>
        <w:spacing w:line="560" w:lineRule="exact"/>
        <w:ind w:left="960" w:hanging="960" w:hangingChars="3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为进一步做好丰台区统计名录库维护更新工作，有效满足优化统计政务服务流程工作的需要，提升统计政务服务水平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。丰台区统计局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拟通过购买第三方服务的形式，委托第三方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公司协助开展政务服务大厅名录维护工作。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一、项目概况及服务内容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基本单位名录库维护工作是丰台统计局重要工作任务。需在丰台区政务大厅驻场服务，辅助开展</w:t>
      </w:r>
      <w:r>
        <w:rPr>
          <w:rFonts w:hint="eastAsia" w:ascii="仿宋_GB2312" w:eastAsia="仿宋_GB2312"/>
          <w:sz w:val="32"/>
          <w:szCs w:val="32"/>
          <w:lang w:eastAsia="zh-CN"/>
        </w:rPr>
        <w:t>统计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基本单位名录库维护工作，服务区委区政府及相关单位，</w:t>
      </w:r>
      <w:r>
        <w:rPr>
          <w:rFonts w:hint="eastAsia" w:ascii="仿宋_GB2312" w:eastAsia="仿宋_GB2312"/>
          <w:sz w:val="32"/>
          <w:szCs w:val="32"/>
        </w:rPr>
        <w:t>保障</w:t>
      </w:r>
      <w:r>
        <w:rPr>
          <w:rFonts w:hint="eastAsia" w:ascii="仿宋_GB2312" w:eastAsia="仿宋_GB2312"/>
          <w:sz w:val="32"/>
          <w:szCs w:val="32"/>
          <w:lang w:eastAsia="zh-CN"/>
        </w:rPr>
        <w:t>统计业务顺利开展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1.服务岗位包括办事大厅统计窗口岗位和统计名录维护岗位。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2.负责在丰台区政务服务大厅办理统计服务事宜；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3.完成区政务服务大厅相关指令性工作；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4.负责日常统计基本单位名录库信息采集、更新、维护等工作；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5.受理企业提交基本情况资料并进行审核录入等工作；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6.其他统计调查工作。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（三）人员要求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本项目驻场人员</w:t>
      </w:r>
      <w:r>
        <w:rPr>
          <w:rFonts w:hint="eastAsia" w:ascii="仿宋_GB2312" w:eastAsia="仿宋_GB2312"/>
          <w:sz w:val="32"/>
          <w:szCs w:val="32"/>
        </w:rPr>
        <w:t>要求：</w:t>
      </w:r>
      <w:r>
        <w:rPr>
          <w:rFonts w:hint="eastAsia" w:ascii="仿宋_GB2312" w:eastAsia="仿宋_GB2312"/>
          <w:sz w:val="32"/>
          <w:szCs w:val="32"/>
          <w:lang w:eastAsia="zh-CN"/>
        </w:rPr>
        <w:t>必须是服务提供单位签订正式劳动合同的自有员工，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学历要求为统招全日制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大专以上学历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，熟练使用各种办公软件，具有较强的团队协作能力、沟通能力、表达能力，工作责任心强，遵守区统计局和区政务服务大厅各项规章制度，具有信息安全及保密意识，履行</w:t>
      </w:r>
      <w:r>
        <w:rPr>
          <w:rFonts w:hint="eastAsia" w:ascii="仿宋_GB2312" w:eastAsia="仿宋_GB2312"/>
          <w:sz w:val="32"/>
          <w:szCs w:val="32"/>
          <w:highlight w:val="none"/>
        </w:rPr>
        <w:t>名录库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资料保密义务。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购买服务期限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（五）经费限额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项目整体预算不超过18万元。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二、报名相关事项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（一）报名条件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报名单位必须具备以下条件：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1.在中华人民共和国境内依法注册的、具有独立法人资格的；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2.具有履行合同所需的专业技术能力；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3.服务提供单位前三年内参加采购合同，没有违法经营记录；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报名</w:t>
      </w:r>
      <w:r>
        <w:rPr>
          <w:rFonts w:hint="eastAsia" w:ascii="楷体_GB2312" w:hAnsi="楷体_GB2312" w:eastAsia="楷体_GB2312" w:cs="楷体_GB2312"/>
          <w:sz w:val="32"/>
          <w:szCs w:val="32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日（工作日上午9：00-11：30，下午13：30-17:30）。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（三）报名材料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承办单位基本情况及报名信息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表（见附件）；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.加盖公章的企业营业执照复印件；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单位近两年资产负债表和利润表；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信用中国法人和非法人组织公共信用信息报告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(需密封)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.相关项目材料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(需密封)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.预算报价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，应附构成明细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(需密封)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以上材料均需加盖单位公章，多页材料须加盖骑缝章。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为保证公平性，第1、2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3、4</w:t>
      </w:r>
      <w:r>
        <w:rPr>
          <w:rFonts w:hint="eastAsia" w:ascii="仿宋_GB2312" w:hAnsi="仿宋_GB2312" w:eastAsia="仿宋_GB2312" w:cs="仿宋_GB2312"/>
          <w:sz w:val="32"/>
          <w:szCs w:val="32"/>
        </w:rPr>
        <w:t>项材料需在项目申报截止日期前以邮寄方式报我单位；第5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6、7</w:t>
      </w:r>
      <w:r>
        <w:rPr>
          <w:rFonts w:hint="eastAsia" w:ascii="仿宋_GB2312" w:hAnsi="仿宋_GB2312" w:eastAsia="仿宋_GB2312" w:cs="仿宋_GB2312"/>
          <w:sz w:val="32"/>
          <w:szCs w:val="32"/>
        </w:rPr>
        <w:t>项需要密封装好，在评审会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前邮递至丰台区统计局或评审会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现场提交。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评审材料于评审会现场开封。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项目评审时间另行通知。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010-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636295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  箱：ftxxb@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tjj.beijing.gov.cn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地址：北京市丰台区程庄路67号丰台区统计局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</w:t>
      </w:r>
      <w:r>
        <w:rPr>
          <w:rFonts w:hint="eastAsia" w:ascii="仿宋_GB2312" w:hAnsi="仿宋_GB2312" w:eastAsia="仿宋_GB2312" w:cs="仿宋_GB2312"/>
          <w:sz w:val="32"/>
          <w:szCs w:val="32"/>
        </w:rPr>
        <w:t>房间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北京市丰台区统计局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ascii="方正小标宋_GBK" w:eastAsia="方正小标宋_GBK"/>
          <w:sz w:val="44"/>
          <w:szCs w:val="44"/>
          <w:highlight w:val="none"/>
        </w:rPr>
      </w:pPr>
      <w:r>
        <w:rPr>
          <w:rFonts w:hint="eastAsia" w:ascii="方正小标宋_GBK" w:eastAsia="方正小标宋_GBK"/>
          <w:sz w:val="44"/>
          <w:szCs w:val="44"/>
          <w:highlight w:val="none"/>
        </w:rPr>
        <w:t>承办单位基本情况及报名信息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022"/>
        <w:gridCol w:w="4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序 号</w:t>
            </w:r>
          </w:p>
        </w:tc>
        <w:tc>
          <w:tcPr>
            <w:tcW w:w="30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项 目</w:t>
            </w:r>
          </w:p>
        </w:tc>
        <w:tc>
          <w:tcPr>
            <w:tcW w:w="4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0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4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30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4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30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4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30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单位规模</w:t>
            </w:r>
          </w:p>
        </w:tc>
        <w:tc>
          <w:tcPr>
            <w:tcW w:w="4605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Chars="0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注册资本: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Chars="0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员工数量: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30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单位经营地</w:t>
            </w:r>
          </w:p>
        </w:tc>
        <w:tc>
          <w:tcPr>
            <w:tcW w:w="4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30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单位纳税地</w:t>
            </w:r>
          </w:p>
        </w:tc>
        <w:tc>
          <w:tcPr>
            <w:tcW w:w="4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30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近三年信用情况</w:t>
            </w:r>
          </w:p>
        </w:tc>
        <w:tc>
          <w:tcPr>
            <w:tcW w:w="4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30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以往业绩/服务案例</w:t>
            </w:r>
          </w:p>
        </w:tc>
        <w:tc>
          <w:tcPr>
            <w:tcW w:w="4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1.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2.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3.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4.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5.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 xml:space="preserve">联系人：                     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联系电话：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报名日期： 年   月   日       单位名称（盖公章）：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/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E46D8"/>
    <w:multiLevelType w:val="multilevel"/>
    <w:tmpl w:val="1A4E46D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61"/>
    <w:rsid w:val="00001F39"/>
    <w:rsid w:val="00163F2C"/>
    <w:rsid w:val="003227C2"/>
    <w:rsid w:val="00723CFF"/>
    <w:rsid w:val="008445DA"/>
    <w:rsid w:val="009939FB"/>
    <w:rsid w:val="009E43BA"/>
    <w:rsid w:val="00B03911"/>
    <w:rsid w:val="00B21ABB"/>
    <w:rsid w:val="00B84D61"/>
    <w:rsid w:val="00C5616F"/>
    <w:rsid w:val="00CC0481"/>
    <w:rsid w:val="00D562A8"/>
    <w:rsid w:val="00D56BA5"/>
    <w:rsid w:val="00E07048"/>
    <w:rsid w:val="00E663B7"/>
    <w:rsid w:val="00F35CBA"/>
    <w:rsid w:val="02C07C14"/>
    <w:rsid w:val="05624502"/>
    <w:rsid w:val="07313499"/>
    <w:rsid w:val="09977676"/>
    <w:rsid w:val="14365F67"/>
    <w:rsid w:val="1AFFE3D7"/>
    <w:rsid w:val="1D574AD1"/>
    <w:rsid w:val="1FCFDA92"/>
    <w:rsid w:val="36EF17B2"/>
    <w:rsid w:val="375932DF"/>
    <w:rsid w:val="39BAF658"/>
    <w:rsid w:val="4AFD7F13"/>
    <w:rsid w:val="4D877343"/>
    <w:rsid w:val="4FDF2A53"/>
    <w:rsid w:val="4FF3F87F"/>
    <w:rsid w:val="4FFF3CE3"/>
    <w:rsid w:val="51AC0B66"/>
    <w:rsid w:val="5577BB3D"/>
    <w:rsid w:val="5F8FAFC2"/>
    <w:rsid w:val="6B7EAD48"/>
    <w:rsid w:val="75BFAC6C"/>
    <w:rsid w:val="77FF51D2"/>
    <w:rsid w:val="78F71DB9"/>
    <w:rsid w:val="7EEB811C"/>
    <w:rsid w:val="7F124FB9"/>
    <w:rsid w:val="7FE7B4DF"/>
    <w:rsid w:val="AFED9B19"/>
    <w:rsid w:val="B7E33837"/>
    <w:rsid w:val="BDFD5D87"/>
    <w:rsid w:val="BFD3E446"/>
    <w:rsid w:val="DEFF119A"/>
    <w:rsid w:val="EDB5E019"/>
    <w:rsid w:val="EFBF354B"/>
    <w:rsid w:val="FBFFDD95"/>
    <w:rsid w:val="FF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before="0" w:after="140" w:line="276" w:lineRule="auto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163</Words>
  <Characters>931</Characters>
  <Lines>7</Lines>
  <Paragraphs>2</Paragraphs>
  <TotalTime>7</TotalTime>
  <ScaleCrop>false</ScaleCrop>
  <LinksUpToDate>false</LinksUpToDate>
  <CharactersWithSpaces>1092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2019-02-02T15:40:00Z</dcterms:created>
  <dc:creator>微软用户</dc:creator>
  <cp:lastModifiedBy>uos</cp:lastModifiedBy>
  <cp:lastPrinted>2025-03-07T01:58:00Z</cp:lastPrinted>
  <dcterms:modified xsi:type="dcterms:W3CDTF">2026-01-16T16:58:32Z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70BD24C5E96842EE906392873AA3533E_12</vt:lpwstr>
  </property>
</Properties>
</file>