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Layout w:type="autofit"/>
        <w:tblCellMar>
          <w:top w:w="0" w:type="dxa"/>
          <w:left w:w="0" w:type="dxa"/>
          <w:bottom w:w="0" w:type="dxa"/>
          <w:right w:w="0" w:type="dxa"/>
        </w:tblCellMar>
      </w:tblPr>
      <w:tblGrid>
        <w:gridCol w:w="712"/>
        <w:gridCol w:w="2957"/>
        <w:gridCol w:w="4667"/>
      </w:tblGrid>
      <w:tr>
        <w:tblPrEx>
          <w:tblCellMar>
            <w:top w:w="0" w:type="dxa"/>
            <w:left w:w="0" w:type="dxa"/>
            <w:bottom w:w="0" w:type="dxa"/>
            <w:right w:w="0" w:type="dxa"/>
          </w:tblCellMar>
        </w:tblPrEx>
        <w:trPr>
          <w:trHeight w:val="900" w:hRule="atLeast"/>
        </w:trPr>
        <w:tc>
          <w:tcPr>
            <w:tcW w:w="5000" w:type="pct"/>
            <w:gridSpan w:val="3"/>
            <w:tcBorders>
              <w:top w:val="nil"/>
              <w:left w:val="nil"/>
              <w:bottom w:val="nil"/>
              <w:right w:val="nil"/>
            </w:tcBorders>
            <w:noWrap/>
            <w:tcMar>
              <w:top w:w="0" w:type="dxa"/>
              <w:left w:w="15" w:type="dxa"/>
              <w:bottom w:w="0" w:type="dxa"/>
              <w:right w:w="15" w:type="dxa"/>
            </w:tcMar>
            <w:vAlign w:val="center"/>
          </w:tcPr>
          <w:p>
            <w:pPr>
              <w:widowControl/>
              <w:jc w:val="center"/>
              <w:rPr>
                <w:rFonts w:ascii="微软雅黑" w:hAnsi="微软雅黑" w:eastAsia="微软雅黑" w:cs="宋体"/>
                <w:b/>
                <w:bCs/>
                <w:color w:val="000000"/>
                <w:kern w:val="0"/>
                <w:sz w:val="16"/>
                <w:szCs w:val="16"/>
              </w:rPr>
            </w:pPr>
            <w:r>
              <w:rPr>
                <w:rFonts w:hint="eastAsia" w:ascii="微软雅黑" w:hAnsi="微软雅黑" w:eastAsia="微软雅黑" w:cs="宋体"/>
                <w:b/>
                <w:bCs/>
                <w:color w:val="000000"/>
                <w:kern w:val="0"/>
                <w:sz w:val="16"/>
                <w:szCs w:val="16"/>
              </w:rPr>
              <w:t>部门整体支出绩效目标申报表</w:t>
            </w:r>
          </w:p>
        </w:tc>
      </w:tr>
      <w:tr>
        <w:tblPrEx>
          <w:tblCellMar>
            <w:top w:w="0" w:type="dxa"/>
            <w:left w:w="0" w:type="dxa"/>
            <w:bottom w:w="0" w:type="dxa"/>
            <w:right w:w="0" w:type="dxa"/>
          </w:tblCellMar>
        </w:tblPrEx>
        <w:trPr>
          <w:trHeight w:val="435" w:hRule="atLeast"/>
        </w:trPr>
        <w:tc>
          <w:tcPr>
            <w:tcW w:w="5000" w:type="pct"/>
            <w:gridSpan w:val="3"/>
            <w:tcBorders>
              <w:top w:val="nil"/>
              <w:left w:val="nil"/>
              <w:bottom w:val="single" w:color="000000" w:sz="4" w:space="0"/>
              <w:right w:val="nil"/>
            </w:tcBorders>
            <w:noWrap/>
            <w:tcMar>
              <w:top w:w="0" w:type="dxa"/>
              <w:left w:w="15" w:type="dxa"/>
              <w:bottom w:w="0" w:type="dxa"/>
              <w:right w:w="15" w:type="dxa"/>
            </w:tcMar>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(2021年度)</w:t>
            </w:r>
          </w:p>
        </w:tc>
      </w:tr>
      <w:tr>
        <w:tblPrEx>
          <w:tblCellMar>
            <w:top w:w="0" w:type="dxa"/>
            <w:left w:w="0" w:type="dxa"/>
            <w:bottom w:w="0" w:type="dxa"/>
            <w:right w:w="0" w:type="dxa"/>
          </w:tblCellMar>
        </w:tblPrEx>
        <w:trPr>
          <w:trHeight w:val="720" w:hRule="atLeast"/>
        </w:trPr>
        <w:tc>
          <w:tcPr>
            <w:tcW w:w="1813" w:type="pct"/>
            <w:tcBorders>
              <w:top w:val="single" w:color="000000" w:sz="4" w:space="0"/>
              <w:left w:val="single" w:color="000000" w:sz="4" w:space="0"/>
              <w:bottom w:val="nil"/>
              <w:right w:val="nil"/>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部门（单位）名称</w:t>
            </w:r>
          </w:p>
        </w:tc>
        <w:tc>
          <w:tcPr>
            <w:tcW w:w="3187" w:type="pct"/>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北京市丰台区卢沟桥乡人民政府</w:t>
            </w:r>
          </w:p>
        </w:tc>
      </w:tr>
      <w:tr>
        <w:tblPrEx>
          <w:tblCellMar>
            <w:top w:w="0" w:type="dxa"/>
            <w:left w:w="0" w:type="dxa"/>
            <w:bottom w:w="0" w:type="dxa"/>
            <w:right w:w="0" w:type="dxa"/>
          </w:tblCellMar>
        </w:tblPrEx>
        <w:trPr>
          <w:trHeight w:val="480" w:hRule="atLeast"/>
        </w:trPr>
        <w:tc>
          <w:tcPr>
            <w:tcW w:w="1813" w:type="pct"/>
            <w:vMerge w:val="restar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部门（单位）总体资金情况（元）</w:t>
            </w:r>
          </w:p>
        </w:tc>
        <w:tc>
          <w:tcPr>
            <w:tcW w:w="1320"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资金总额：</w:t>
            </w:r>
          </w:p>
        </w:tc>
        <w:tc>
          <w:tcPr>
            <w:tcW w:w="1867"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203881302.22</w:t>
            </w:r>
          </w:p>
        </w:tc>
      </w:tr>
      <w:tr>
        <w:tblPrEx>
          <w:tblCellMar>
            <w:top w:w="0" w:type="dxa"/>
            <w:left w:w="0" w:type="dxa"/>
            <w:bottom w:w="0" w:type="dxa"/>
            <w:right w:w="0" w:type="dxa"/>
          </w:tblCellMar>
        </w:tblPrEx>
        <w:trPr>
          <w:trHeight w:val="525" w:hRule="atLeast"/>
        </w:trPr>
        <w:tc>
          <w:tcPr>
            <w:tcW w:w="18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微软雅黑" w:hAnsi="微软雅黑" w:eastAsia="微软雅黑" w:cs="宋体"/>
                <w:color w:val="000000"/>
                <w:kern w:val="0"/>
                <w:sz w:val="16"/>
                <w:szCs w:val="16"/>
              </w:rPr>
            </w:pPr>
          </w:p>
        </w:tc>
        <w:tc>
          <w:tcPr>
            <w:tcW w:w="1320"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基本支出：</w:t>
            </w:r>
          </w:p>
        </w:tc>
        <w:tc>
          <w:tcPr>
            <w:tcW w:w="1867"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49677225</w:t>
            </w:r>
          </w:p>
        </w:tc>
      </w:tr>
      <w:tr>
        <w:tblPrEx>
          <w:tblCellMar>
            <w:top w:w="0" w:type="dxa"/>
            <w:left w:w="0" w:type="dxa"/>
            <w:bottom w:w="0" w:type="dxa"/>
            <w:right w:w="0" w:type="dxa"/>
          </w:tblCellMar>
        </w:tblPrEx>
        <w:trPr>
          <w:trHeight w:val="480" w:hRule="atLeast"/>
        </w:trPr>
        <w:tc>
          <w:tcPr>
            <w:tcW w:w="18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微软雅黑" w:hAnsi="微软雅黑" w:eastAsia="微软雅黑" w:cs="宋体"/>
                <w:color w:val="000000"/>
                <w:kern w:val="0"/>
                <w:sz w:val="16"/>
                <w:szCs w:val="16"/>
              </w:rPr>
            </w:pPr>
          </w:p>
        </w:tc>
        <w:tc>
          <w:tcPr>
            <w:tcW w:w="1320"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项目支出：</w:t>
            </w:r>
          </w:p>
        </w:tc>
        <w:tc>
          <w:tcPr>
            <w:tcW w:w="1867"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154204077.22</w:t>
            </w:r>
            <w:bookmarkStart w:id="0" w:name="_GoBack"/>
            <w:bookmarkEnd w:id="0"/>
          </w:p>
        </w:tc>
      </w:tr>
      <w:tr>
        <w:tblPrEx>
          <w:tblCellMar>
            <w:top w:w="0" w:type="dxa"/>
            <w:left w:w="0" w:type="dxa"/>
            <w:bottom w:w="0" w:type="dxa"/>
            <w:right w:w="0" w:type="dxa"/>
          </w:tblCellMar>
        </w:tblPrEx>
        <w:trPr>
          <w:trHeight w:val="4815" w:hRule="atLeast"/>
        </w:trPr>
        <w:tc>
          <w:tcPr>
            <w:tcW w:w="1813" w:type="pct"/>
            <w:tcBorders>
              <w:top w:val="single" w:color="000000" w:sz="4" w:space="0"/>
              <w:left w:val="single" w:color="000000" w:sz="4" w:space="0"/>
              <w:bottom w:val="nil"/>
              <w:right w:val="nil"/>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部门（单位）绩效目标</w:t>
            </w:r>
          </w:p>
        </w:tc>
        <w:tc>
          <w:tcPr>
            <w:tcW w:w="3187" w:type="pct"/>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突出民生保障，持续增进人民满意度、幸福感。提升社会保障水平。将促进就业作为工作重点，不断拓宽群众就业渠道，切实增加群众收入。持续做好养老服务工作，贯彻落实居家养老服务条例，加快养老服务设施建设，不断完善养老服务体系。优先启动配套教育用地建设，鼓励引进公办优质中小学和幼儿园，提升乡域教育质量。</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不断改善生态环境。实施蓝天保卫战三年行动计划，完善大气环境精细化监管体系，配合区级单位完成清煤降氮、治污减排、清洁降尘、重型柴油车监管工作，在整治扬尘和裸地、推进餐饮企业油烟净化设施升级改造方面加大工作推进力度，完成年度主要污染物总量减排目标，持续改善空气质量。</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持续优化营商环境。积极贯彻落实市区有关优化营商环境的政策规定，提升政务服务水平，进一步缩短办理时限。</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不断强化政治建设。坚持党的领导，牢固树立“四个意识”，坚定“四个自信”，坚决做到“两个维护”，坚决贯彻党中央、国务院、市委市政府和区委、区政府及乡党委各项决策部署，努力以实际行动推动习近平新时代中国特色社会主义思想在京华大地落地生根，进一步形成生动实践。</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深入推进疏整促。严控新增，严管存量。持续做好留白增绿工作，实现“散乱污”企业、群租房、无证餐饮、违规地下空间动态清零。</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经济实现速效双增。积极引进“高精尖”产业，实现疏解与产业转型的双提升。加快新建便民网点，连锁化率提升3%，持续改造提升万丰餐饮街、靛厂商业街的休憩、文化和景观设施，积极构建功能齐全生活性服务区。加快建设社区综合商业服务中心，通过建设“微生活”、“云社区”、提升物业管理服务水平等方式，为居民生活提供优质便利服务。</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突出安全稳定，持续做好重点活动服务保障工作</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突出政府建设，。提升政府服务效能。切实增强履职本领，不断拓宽工作思路，强化干部素质，做好预算与决算公开，严肃财经纪律，强化审计监督，确保权力运行公开与透明。</w:t>
            </w:r>
          </w:p>
        </w:tc>
      </w:tr>
      <w:tr>
        <w:tblPrEx>
          <w:tblCellMar>
            <w:top w:w="0" w:type="dxa"/>
            <w:left w:w="0" w:type="dxa"/>
            <w:bottom w:w="0" w:type="dxa"/>
            <w:right w:w="0" w:type="dxa"/>
          </w:tblCellMar>
        </w:tblPrEx>
        <w:trPr>
          <w:trHeight w:val="450" w:hRule="atLeast"/>
        </w:trPr>
        <w:tc>
          <w:tcPr>
            <w:tcW w:w="1813" w:type="pct"/>
            <w:vMerge w:val="restar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绩效指标</w:t>
            </w:r>
          </w:p>
        </w:tc>
        <w:tc>
          <w:tcPr>
            <w:tcW w:w="1320"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指标名称</w:t>
            </w:r>
          </w:p>
        </w:tc>
        <w:tc>
          <w:tcPr>
            <w:tcW w:w="1867"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指标内容和指标值</w:t>
            </w:r>
          </w:p>
        </w:tc>
      </w:tr>
      <w:tr>
        <w:tblPrEx>
          <w:tblCellMar>
            <w:top w:w="0" w:type="dxa"/>
            <w:left w:w="0" w:type="dxa"/>
            <w:bottom w:w="0" w:type="dxa"/>
            <w:right w:w="0" w:type="dxa"/>
          </w:tblCellMar>
        </w:tblPrEx>
        <w:trPr>
          <w:trHeight w:val="915" w:hRule="atLeast"/>
        </w:trPr>
        <w:tc>
          <w:tcPr>
            <w:tcW w:w="18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微软雅黑" w:hAnsi="微软雅黑" w:eastAsia="微软雅黑" w:cs="宋体"/>
                <w:color w:val="000000"/>
                <w:kern w:val="0"/>
                <w:sz w:val="16"/>
                <w:szCs w:val="16"/>
              </w:rPr>
            </w:pPr>
          </w:p>
        </w:tc>
        <w:tc>
          <w:tcPr>
            <w:tcW w:w="1320"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产出数量指标</w:t>
            </w:r>
          </w:p>
        </w:tc>
        <w:tc>
          <w:tcPr>
            <w:tcW w:w="1867"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本支出含人员支出和公用支出，人员基本支出包括（工资、社保、住房公积金、住房补贴、退休费、抚恤金等）；公用经费支出含（工会经费、会议费、培训费、维修费等）；项目支出含（体制资金项目支出和专项资金项目支出）</w:t>
            </w:r>
          </w:p>
        </w:tc>
      </w:tr>
      <w:tr>
        <w:tblPrEx>
          <w:tblCellMar>
            <w:top w:w="0" w:type="dxa"/>
            <w:left w:w="0" w:type="dxa"/>
            <w:bottom w:w="0" w:type="dxa"/>
            <w:right w:w="0" w:type="dxa"/>
          </w:tblCellMar>
        </w:tblPrEx>
        <w:trPr>
          <w:trHeight w:val="855" w:hRule="atLeast"/>
        </w:trPr>
        <w:tc>
          <w:tcPr>
            <w:tcW w:w="18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微软雅黑" w:hAnsi="微软雅黑" w:eastAsia="微软雅黑" w:cs="宋体"/>
                <w:color w:val="000000"/>
                <w:kern w:val="0"/>
                <w:sz w:val="16"/>
                <w:szCs w:val="16"/>
              </w:rPr>
            </w:pPr>
          </w:p>
        </w:tc>
        <w:tc>
          <w:tcPr>
            <w:tcW w:w="1320"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产出质量指标</w:t>
            </w:r>
          </w:p>
        </w:tc>
        <w:tc>
          <w:tcPr>
            <w:tcW w:w="1867"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保证单位运转有序，人员工资及基本福利发放到位。严格专项资金预算管理，专款专用，按项目科学、高效使用资金。</w:t>
            </w:r>
          </w:p>
        </w:tc>
      </w:tr>
      <w:tr>
        <w:tblPrEx>
          <w:tblCellMar>
            <w:top w:w="0" w:type="dxa"/>
            <w:left w:w="0" w:type="dxa"/>
            <w:bottom w:w="0" w:type="dxa"/>
            <w:right w:w="0" w:type="dxa"/>
          </w:tblCellMar>
        </w:tblPrEx>
        <w:trPr>
          <w:trHeight w:val="915" w:hRule="atLeast"/>
        </w:trPr>
        <w:tc>
          <w:tcPr>
            <w:tcW w:w="18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微软雅黑" w:hAnsi="微软雅黑" w:eastAsia="微软雅黑" w:cs="宋体"/>
                <w:color w:val="000000"/>
                <w:kern w:val="0"/>
                <w:sz w:val="16"/>
                <w:szCs w:val="16"/>
              </w:rPr>
            </w:pPr>
          </w:p>
        </w:tc>
        <w:tc>
          <w:tcPr>
            <w:tcW w:w="1320"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产出进度指标</w:t>
            </w:r>
          </w:p>
        </w:tc>
        <w:tc>
          <w:tcPr>
            <w:tcW w:w="1867"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按照区人力社保局工资科安排，每月做好人员工资发放任务。严格按照区财政局相关要求，根据单位运转需求，开展公用经费支出。各项目资金严格按照区财政局进度支出要求及合同要求，完成相关支出。</w:t>
            </w:r>
          </w:p>
        </w:tc>
      </w:tr>
      <w:tr>
        <w:tblPrEx>
          <w:tblCellMar>
            <w:top w:w="0" w:type="dxa"/>
            <w:left w:w="0" w:type="dxa"/>
            <w:bottom w:w="0" w:type="dxa"/>
            <w:right w:w="0" w:type="dxa"/>
          </w:tblCellMar>
        </w:tblPrEx>
        <w:trPr>
          <w:trHeight w:val="855" w:hRule="atLeast"/>
        </w:trPr>
        <w:tc>
          <w:tcPr>
            <w:tcW w:w="18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微软雅黑" w:hAnsi="微软雅黑" w:eastAsia="微软雅黑" w:cs="宋体"/>
                <w:color w:val="000000"/>
                <w:kern w:val="0"/>
                <w:sz w:val="16"/>
                <w:szCs w:val="16"/>
              </w:rPr>
            </w:pPr>
          </w:p>
        </w:tc>
        <w:tc>
          <w:tcPr>
            <w:tcW w:w="1320"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产出成本指标</w:t>
            </w:r>
          </w:p>
        </w:tc>
        <w:tc>
          <w:tcPr>
            <w:tcW w:w="1867"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按照预算下达金额严格进行支出</w:t>
            </w:r>
          </w:p>
        </w:tc>
      </w:tr>
      <w:tr>
        <w:tblPrEx>
          <w:tblCellMar>
            <w:top w:w="0" w:type="dxa"/>
            <w:left w:w="0" w:type="dxa"/>
            <w:bottom w:w="0" w:type="dxa"/>
            <w:right w:w="0" w:type="dxa"/>
          </w:tblCellMar>
        </w:tblPrEx>
        <w:trPr>
          <w:trHeight w:val="915" w:hRule="atLeast"/>
        </w:trPr>
        <w:tc>
          <w:tcPr>
            <w:tcW w:w="18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微软雅黑" w:hAnsi="微软雅黑" w:eastAsia="微软雅黑" w:cs="宋体"/>
                <w:color w:val="000000"/>
                <w:kern w:val="0"/>
                <w:sz w:val="16"/>
                <w:szCs w:val="16"/>
              </w:rPr>
            </w:pPr>
          </w:p>
        </w:tc>
        <w:tc>
          <w:tcPr>
            <w:tcW w:w="1320"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社会效益指标</w:t>
            </w:r>
          </w:p>
        </w:tc>
        <w:tc>
          <w:tcPr>
            <w:tcW w:w="1867"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促进地区各项社会事业的发展，努力提升乡村公共服务短板和基础设施建设，持续加强生态环境保护，全力打好蓝天保卫战，持续增进民生福祉，切实服务人民群众。</w:t>
            </w:r>
          </w:p>
        </w:tc>
      </w:tr>
      <w:tr>
        <w:tblPrEx>
          <w:tblCellMar>
            <w:top w:w="0" w:type="dxa"/>
            <w:left w:w="0" w:type="dxa"/>
            <w:bottom w:w="0" w:type="dxa"/>
            <w:right w:w="0" w:type="dxa"/>
          </w:tblCellMar>
        </w:tblPrEx>
        <w:trPr>
          <w:trHeight w:val="855" w:hRule="atLeast"/>
        </w:trPr>
        <w:tc>
          <w:tcPr>
            <w:tcW w:w="18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微软雅黑" w:hAnsi="微软雅黑" w:eastAsia="微软雅黑" w:cs="宋体"/>
                <w:color w:val="000000"/>
                <w:kern w:val="0"/>
                <w:sz w:val="16"/>
                <w:szCs w:val="16"/>
              </w:rPr>
            </w:pPr>
          </w:p>
        </w:tc>
        <w:tc>
          <w:tcPr>
            <w:tcW w:w="1320"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服务群众满意度指标</w:t>
            </w:r>
          </w:p>
        </w:tc>
        <w:tc>
          <w:tcPr>
            <w:tcW w:w="1867" w:type="pc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群众安全感满意度与上一年持平</w:t>
            </w:r>
          </w:p>
        </w:tc>
      </w:tr>
      <w:tr>
        <w:tblPrEx>
          <w:tblCellMar>
            <w:top w:w="0" w:type="dxa"/>
            <w:left w:w="0" w:type="dxa"/>
            <w:bottom w:w="0" w:type="dxa"/>
            <w:right w:w="0" w:type="dxa"/>
          </w:tblCellMar>
        </w:tblPrEx>
        <w:trPr>
          <w:trHeight w:val="870" w:hRule="atLeast"/>
        </w:trPr>
        <w:tc>
          <w:tcPr>
            <w:tcW w:w="1813" w:type="pct"/>
            <w:tcBorders>
              <w:top w:val="single" w:color="000000" w:sz="4" w:space="0"/>
              <w:left w:val="single" w:color="000000" w:sz="4" w:space="0"/>
              <w:bottom w:val="single" w:color="000000" w:sz="4" w:space="0"/>
              <w:right w:val="nil"/>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其他说明的问题</w:t>
            </w:r>
          </w:p>
        </w:tc>
        <w:tc>
          <w:tcPr>
            <w:tcW w:w="3187" w:type="pct"/>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w:t>
            </w:r>
          </w:p>
        </w:tc>
      </w:tr>
    </w:tbl>
    <w:p>
      <w:pPr>
        <w:rPr>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3c809e3b-79c1-4008-9f1b-6dec81814358"/>
  </w:docVars>
  <w:rsids>
    <w:rsidRoot w:val="00B63B26"/>
    <w:rsid w:val="00267436"/>
    <w:rsid w:val="008F334F"/>
    <w:rsid w:val="00B63B26"/>
    <w:rsid w:val="794B1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201</Words>
  <Characters>1150</Characters>
  <Lines>9</Lines>
  <Paragraphs>2</Paragraphs>
  <TotalTime>1</TotalTime>
  <ScaleCrop>false</ScaleCrop>
  <LinksUpToDate>false</LinksUpToDate>
  <CharactersWithSpaces>1349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2022-09-09T05:12:00Z</dcterms:created>
  <dc:creator>admin</dc:creator>
  <cp:lastModifiedBy>血月舞殇</cp:lastModifiedBy>
  <dcterms:modified xsi:type="dcterms:W3CDTF">2025-03-20T07:49:59Z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D41CE5E12662466480ED9F761DB545AA</vt:lpwstr>
  </property>
</Properties>
</file>