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F2" w:rsidRDefault="00552CF2" w:rsidP="00552CF2">
      <w:pPr>
        <w:widowControl/>
        <w:adjustRightInd w:val="0"/>
        <w:spacing w:line="560" w:lineRule="exact"/>
        <w:ind w:firstLineChars="200" w:firstLine="703"/>
        <w:jc w:val="center"/>
        <w:rPr>
          <w:rFonts w:ascii="仿宋_GB2312" w:eastAsia="仿宋_GB2312" w:hAnsi="宋体" w:cs="宋体"/>
          <w:b/>
          <w:color w:val="000000"/>
          <w:spacing w:val="15"/>
          <w:kern w:val="0"/>
          <w:sz w:val="32"/>
          <w:szCs w:val="32"/>
        </w:rPr>
      </w:pPr>
      <w:r>
        <w:rPr>
          <w:rFonts w:ascii="仿宋_GB2312" w:eastAsia="仿宋_GB2312" w:hAnsi="宋体" w:cs="宋体" w:hint="eastAsia"/>
          <w:b/>
          <w:color w:val="000000"/>
          <w:spacing w:val="15"/>
          <w:kern w:val="0"/>
          <w:sz w:val="32"/>
          <w:szCs w:val="32"/>
        </w:rPr>
        <w:t>专业名词解释</w:t>
      </w:r>
    </w:p>
    <w:p w:rsidR="00552CF2" w:rsidRDefault="00552CF2" w:rsidP="00552CF2">
      <w:pPr>
        <w:widowControl/>
        <w:adjustRightInd w:val="0"/>
        <w:spacing w:line="560" w:lineRule="exact"/>
        <w:ind w:firstLineChars="200" w:firstLine="602"/>
        <w:jc w:val="left"/>
        <w:rPr>
          <w:rFonts w:ascii="仿宋_GB2312" w:eastAsia="仿宋_GB2312" w:hAnsi="Calibri" w:hint="eastAsia"/>
          <w:sz w:val="30"/>
          <w:szCs w:val="30"/>
        </w:rPr>
      </w:pPr>
      <w:r>
        <w:rPr>
          <w:rFonts w:ascii="仿宋_GB2312" w:eastAsia="仿宋_GB2312" w:hAnsi="Calibri" w:hint="eastAsia"/>
          <w:b/>
          <w:sz w:val="30"/>
          <w:szCs w:val="30"/>
        </w:rPr>
        <w:t>预算：</w:t>
      </w:r>
      <w:r>
        <w:rPr>
          <w:rFonts w:ascii="仿宋_GB2312" w:eastAsia="仿宋_GB2312" w:hAnsi="Calibri" w:hint="eastAsia"/>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rsidR="00552CF2" w:rsidRDefault="00552CF2" w:rsidP="00552CF2">
      <w:pPr>
        <w:widowControl/>
        <w:adjustRightInd w:val="0"/>
        <w:spacing w:line="560" w:lineRule="exact"/>
        <w:ind w:firstLineChars="200" w:firstLine="602"/>
        <w:jc w:val="left"/>
        <w:rPr>
          <w:rFonts w:ascii="仿宋_GB2312" w:eastAsia="仿宋_GB2312" w:hAnsi="Calibri" w:hint="eastAsia"/>
          <w:sz w:val="30"/>
          <w:szCs w:val="30"/>
        </w:rPr>
      </w:pPr>
      <w:r>
        <w:rPr>
          <w:rFonts w:ascii="仿宋_GB2312" w:eastAsia="仿宋_GB2312" w:hAnsi="Calibri" w:hint="eastAsia"/>
          <w:b/>
          <w:sz w:val="30"/>
          <w:szCs w:val="30"/>
        </w:rPr>
        <w:t>一般公共预算：</w:t>
      </w:r>
      <w:r>
        <w:rPr>
          <w:rFonts w:ascii="仿宋_GB2312" w:eastAsia="仿宋_GB2312" w:hAnsi="Calibri" w:hint="eastAsia"/>
          <w:sz w:val="30"/>
          <w:szCs w:val="30"/>
        </w:rPr>
        <w:t>对以税收为主体的财政收入，安排用于保障和改善民生、推动经济社会发展、维护国家安全、维持国家机构正常运转等方面的收支预算。</w:t>
      </w:r>
    </w:p>
    <w:p w:rsidR="00552CF2" w:rsidRDefault="00552CF2" w:rsidP="00552CF2">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部门预算:</w:t>
      </w:r>
      <w:r>
        <w:rPr>
          <w:rFonts w:ascii="仿宋_GB2312" w:eastAsia="仿宋_GB2312" w:hAnsi="Calibri" w:hint="eastAsia"/>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552CF2" w:rsidRDefault="00552CF2" w:rsidP="00552CF2">
      <w:pPr>
        <w:widowControl/>
        <w:adjustRightInd w:val="0"/>
        <w:spacing w:line="560" w:lineRule="exact"/>
        <w:ind w:firstLineChars="200" w:firstLine="602"/>
        <w:jc w:val="left"/>
        <w:rPr>
          <w:rFonts w:ascii="仿宋_GB2312" w:eastAsia="仿宋_GB2312" w:hAnsi="Calibri" w:hint="eastAsia"/>
          <w:sz w:val="30"/>
          <w:szCs w:val="30"/>
        </w:rPr>
      </w:pPr>
      <w:r>
        <w:rPr>
          <w:rFonts w:ascii="仿宋_GB2312" w:eastAsia="仿宋_GB2312" w:hAnsi="Calibri" w:hint="eastAsia"/>
          <w:b/>
          <w:sz w:val="30"/>
          <w:szCs w:val="30"/>
        </w:rPr>
        <w:t xml:space="preserve">政府采购: </w:t>
      </w:r>
      <w:r>
        <w:rPr>
          <w:rFonts w:ascii="仿宋_GB2312" w:eastAsia="仿宋_GB2312" w:hAnsi="Calibri" w:hint="eastAsia"/>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552CF2" w:rsidRDefault="00552CF2" w:rsidP="00552CF2">
      <w:pPr>
        <w:adjustRightInd w:val="0"/>
        <w:snapToGrid w:val="0"/>
        <w:spacing w:line="560" w:lineRule="exact"/>
        <w:ind w:firstLineChars="200" w:firstLine="602"/>
        <w:rPr>
          <w:rFonts w:ascii="仿宋_GB2312" w:eastAsia="仿宋_GB2312" w:cs="仿宋_GB2312" w:hint="eastAsia"/>
          <w:sz w:val="32"/>
          <w:szCs w:val="32"/>
        </w:rPr>
      </w:pPr>
      <w:r>
        <w:rPr>
          <w:rFonts w:ascii="仿宋_GB2312" w:eastAsia="仿宋_GB2312" w:hAnsi="Calibri" w:hint="eastAsia"/>
          <w:b/>
          <w:sz w:val="30"/>
          <w:szCs w:val="30"/>
        </w:rPr>
        <w:t>项目支出绩效目标：</w:t>
      </w:r>
      <w:r>
        <w:rPr>
          <w:rFonts w:ascii="仿宋_GB2312" w:eastAsia="仿宋_GB2312" w:cs="仿宋_GB2312" w:hint="eastAsia"/>
          <w:sz w:val="32"/>
          <w:szCs w:val="32"/>
        </w:rPr>
        <w:t>指区级预算部门或单位依据职责和事业发展要求，设立并通过预算安排的项目支出在一定期限内预期达到的产出和效果。</w:t>
      </w:r>
    </w:p>
    <w:p w:rsidR="00552CF2" w:rsidRDefault="00552CF2" w:rsidP="00552CF2">
      <w:pPr>
        <w:widowControl/>
        <w:adjustRightInd w:val="0"/>
        <w:spacing w:line="560" w:lineRule="exact"/>
        <w:ind w:firstLineChars="200" w:firstLine="643"/>
        <w:jc w:val="left"/>
        <w:rPr>
          <w:rFonts w:ascii="仿宋_GB2312" w:eastAsia="仿宋_GB2312" w:cs="仿宋_GB2312" w:hint="eastAsia"/>
          <w:sz w:val="32"/>
          <w:szCs w:val="32"/>
        </w:rPr>
      </w:pPr>
      <w:r>
        <w:rPr>
          <w:rFonts w:ascii="仿宋_GB2312" w:eastAsia="仿宋_GB2312" w:cs="仿宋_GB2312" w:hint="eastAsia"/>
          <w:b/>
          <w:bCs/>
          <w:sz w:val="32"/>
          <w:szCs w:val="32"/>
        </w:rPr>
        <w:t>部门（单位）整体支出绩效目标：</w:t>
      </w:r>
      <w:r>
        <w:rPr>
          <w:rFonts w:ascii="仿宋_GB2312" w:eastAsia="仿宋_GB2312" w:cs="仿宋_GB2312" w:hint="eastAsia"/>
          <w:sz w:val="32"/>
          <w:szCs w:val="32"/>
        </w:rPr>
        <w:t>指区级预算部门或单位按照确定的职责，利用全部部门预算资金在一定期限内预期达到的总体产出和效果。</w:t>
      </w:r>
    </w:p>
    <w:p w:rsidR="00C53C5A" w:rsidRPr="00552CF2" w:rsidRDefault="00C53C5A" w:rsidP="00552CF2">
      <w:bookmarkStart w:id="0" w:name="_GoBack"/>
      <w:bookmarkEnd w:id="0"/>
    </w:p>
    <w:sectPr w:rsidR="00C53C5A" w:rsidRPr="00552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02"/>
    <w:rsid w:val="001B14FB"/>
    <w:rsid w:val="00552CF2"/>
    <w:rsid w:val="006A4802"/>
    <w:rsid w:val="00C53C5A"/>
    <w:rsid w:val="00DF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01569-6E3A-4A9C-8E59-5E0B3218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563">
      <w:bodyDiv w:val="1"/>
      <w:marLeft w:val="0"/>
      <w:marRight w:val="0"/>
      <w:marTop w:val="0"/>
      <w:marBottom w:val="0"/>
      <w:divBdr>
        <w:top w:val="none" w:sz="0" w:space="0" w:color="auto"/>
        <w:left w:val="none" w:sz="0" w:space="0" w:color="auto"/>
        <w:bottom w:val="none" w:sz="0" w:space="0" w:color="auto"/>
        <w:right w:val="none" w:sz="0" w:space="0" w:color="auto"/>
      </w:divBdr>
    </w:div>
    <w:div w:id="1298953622">
      <w:bodyDiv w:val="1"/>
      <w:marLeft w:val="0"/>
      <w:marRight w:val="0"/>
      <w:marTop w:val="0"/>
      <w:marBottom w:val="0"/>
      <w:divBdr>
        <w:top w:val="none" w:sz="0" w:space="0" w:color="auto"/>
        <w:left w:val="none" w:sz="0" w:space="0" w:color="auto"/>
        <w:bottom w:val="none" w:sz="0" w:space="0" w:color="auto"/>
        <w:right w:val="none" w:sz="0" w:space="0" w:color="auto"/>
      </w:divBdr>
    </w:div>
    <w:div w:id="14258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jellolo_ok</dc:creator>
  <cp:keywords/>
  <dc:description/>
  <cp:lastModifiedBy>jellolo_ok</cp:lastModifiedBy>
  <cp:revision>4</cp:revision>
  <dcterms:created xsi:type="dcterms:W3CDTF">2021-01-27T07:54:00Z</dcterms:created>
  <dcterms:modified xsi:type="dcterms:W3CDTF">2021-01-27T08:02:00Z</dcterms:modified>
</cp:coreProperties>
</file>