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snapToGrid/>
        <w:spacing w:line="560" w:lineRule="exact"/>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第一部分</w:t>
      </w:r>
    </w:p>
    <w:p>
      <w:pPr>
        <w:keepNext w:val="0"/>
        <w:keepLines w:val="0"/>
        <w:pageBreakBefore w:val="0"/>
        <w:widowControl/>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年部门预算情况说明</w:t>
      </w:r>
    </w:p>
    <w:p>
      <w:pPr>
        <w:keepNext w:val="0"/>
        <w:keepLines w:val="0"/>
        <w:pageBreakBefore w:val="0"/>
        <w:kinsoku/>
        <w:wordWrap/>
        <w:overflowPunct/>
        <w:topLinePunct w:val="0"/>
        <w:autoSpaceDN/>
        <w:bidi w:val="0"/>
        <w:snapToGrid/>
        <w:spacing w:line="560" w:lineRule="exact"/>
        <w:jc w:val="center"/>
        <w:textAlignment w:val="auto"/>
        <w:rPr>
          <w:rFonts w:hint="eastAsia" w:ascii="宋体" w:hAnsi="宋体" w:cs="宋体"/>
          <w:sz w:val="32"/>
          <w:szCs w:val="32"/>
        </w:rPr>
      </w:pP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一、部门情况</w:t>
      </w: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（一）部门机构设置、职责</w:t>
      </w:r>
    </w:p>
    <w:p>
      <w:pPr>
        <w:keepNext w:val="0"/>
        <w:keepLines w:val="0"/>
        <w:pageBreakBefore w:val="0"/>
        <w:kinsoku/>
        <w:wordWrap/>
        <w:overflowPunct/>
        <w:topLinePunct w:val="0"/>
        <w:autoSpaceDN/>
        <w:bidi w:val="0"/>
        <w:snapToGrid/>
        <w:spacing w:line="560" w:lineRule="exact"/>
        <w:ind w:firstLine="700" w:firstLineChars="200"/>
        <w:textAlignment w:val="auto"/>
        <w:rPr>
          <w:rFonts w:hint="eastAsia" w:ascii="仿宋_GB2312" w:hAnsi="楷体_GB2312" w:eastAsia="仿宋_GB2312" w:cs="楷体_GB2312"/>
          <w:sz w:val="32"/>
          <w:szCs w:val="32"/>
        </w:rPr>
      </w:pPr>
      <w:r>
        <w:rPr>
          <w:rFonts w:hint="eastAsia" w:ascii="仿宋_GB2312" w:hAnsi="仿宋" w:eastAsia="仿宋_GB2312" w:cs="仿宋"/>
          <w:color w:val="000000"/>
          <w:spacing w:val="15"/>
          <w:kern w:val="0"/>
          <w:sz w:val="32"/>
          <w:szCs w:val="32"/>
        </w:rPr>
        <w:t>北京市丰台区人民政府外事办公室（以下简称区外办）是负责丰台区外事工作的政府组成部门，属于行政单位（不含行政执法机构）。</w:t>
      </w:r>
      <w:r>
        <w:rPr>
          <w:rFonts w:hint="eastAsia" w:ascii="仿宋_GB2312" w:hAnsi="仿宋" w:eastAsia="仿宋_GB2312"/>
          <w:sz w:val="32"/>
          <w:szCs w:val="32"/>
        </w:rPr>
        <w:t>区外办不设内设机构。</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kern w:val="0"/>
          <w:sz w:val="32"/>
          <w:szCs w:val="32"/>
        </w:rPr>
      </w:pPr>
      <w:r>
        <w:rPr>
          <w:rFonts w:hint="eastAsia" w:ascii="仿宋_GB2312" w:hAnsi="仿宋" w:eastAsia="仿宋_GB2312" w:cs="仿宋"/>
          <w:color w:val="000000"/>
          <w:spacing w:val="15"/>
          <w:kern w:val="0"/>
          <w:sz w:val="32"/>
          <w:szCs w:val="32"/>
        </w:rPr>
        <w:t>主要职责：</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1.贯彻执行党和国家的对外方针、政策和涉外法规以及市委、市政府和区委、区政府关于外事工作的指示和决定，检查本区各部门、各单位贯彻执行的情况；负责拟定本区外事工作规划和制度，并组织实施；负责组织开展外事工作重大问题的调查研究，为区委、区政府的对外工作决策提供意见和建议。</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kern w:val="0"/>
          <w:sz w:val="32"/>
          <w:szCs w:val="32"/>
        </w:rPr>
      </w:pPr>
      <w:r>
        <w:rPr>
          <w:rFonts w:hint="eastAsia" w:ascii="仿宋_GB2312" w:hAnsi="仿宋" w:eastAsia="仿宋_GB2312" w:cs="仿宋"/>
          <w:color w:val="000000"/>
          <w:spacing w:val="15"/>
          <w:sz w:val="32"/>
          <w:szCs w:val="32"/>
        </w:rPr>
        <w:t xml:space="preserve">2.贯彻执行中央对香港、澳门的政策规定，负责推动本区与香港、澳门在经济、科技、文化等领域的交流和合作。 </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3.负责本区与外国地方政府间的交流，组织和管理与国际友好城市的交往活动；负责配合中央、市有关部门接待来本区访问的党和国家重要外宾；负责统筹安排区领导的外事活动和出访事宜。</w:t>
      </w:r>
    </w:p>
    <w:p>
      <w:pPr>
        <w:keepNext w:val="0"/>
        <w:keepLines w:val="0"/>
        <w:pageBreakBefore w:val="0"/>
        <w:widowControl/>
        <w:kinsoku/>
        <w:wordWrap/>
        <w:overflowPunct/>
        <w:topLinePunct w:val="0"/>
        <w:autoSpaceDN/>
        <w:bidi w:val="0"/>
        <w:adjustRightInd w:val="0"/>
        <w:snapToGrid/>
        <w:spacing w:line="560" w:lineRule="exact"/>
        <w:ind w:firstLine="700" w:firstLineChars="200"/>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 xml:space="preserve">4.负责为因公出国（境）人员办理护照(通行证)，申办签证及办理其他有关证件；负责因公护照、通行证的收缴、保管工作。 </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 xml:space="preserve">5.负责牵头协调在区外籍人员的管理和服务；负责组织、协调、指导、检查本区涉外(突发)事件的预防和应对工作；配合市有关部门协调区有关部门处置本区特别重大、重大、较大涉外（突发）事件。 </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6.负责管理境外非政府组织在区活动和本区民间组织参加国际非政府组织活动；负责初审区有关部门和单位申办和举办国际会议的工作；承担本区参与国际组织和国际多边活动的相关工作，负责组织协调以区政府名义举办的大型国际多边活动并承担安全监管职责；负责指导民间对外交往工作。</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7.负责本市外国常驻新闻机构和外国记者、港澳记者在本区采访的有关事宜。</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8.组织协调推进本区国际语言环境建设工作。</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9.负责对本区外事干部和涉外人员进行对外政策和外事纪律的教育；会同有关部门检查外事纪律的执行情况，并对违反外事纪律问题提出处理意见和建议。</w:t>
      </w:r>
    </w:p>
    <w:p>
      <w:pPr>
        <w:keepNext w:val="0"/>
        <w:keepLines w:val="0"/>
        <w:pageBreakBefore w:val="0"/>
        <w:widowControl/>
        <w:kinsoku/>
        <w:wordWrap/>
        <w:overflowPunct/>
        <w:topLinePunct w:val="0"/>
        <w:autoSpaceDN/>
        <w:bidi w:val="0"/>
        <w:adjustRightInd w:val="0"/>
        <w:snapToGrid/>
        <w:spacing w:line="560" w:lineRule="exact"/>
        <w:ind w:firstLine="703" w:firstLineChars="201"/>
        <w:textAlignment w:val="auto"/>
        <w:rPr>
          <w:rFonts w:hint="eastAsia" w:ascii="仿宋_GB2312" w:hAnsi="仿宋" w:eastAsia="仿宋_GB2312" w:cs="仿宋"/>
          <w:color w:val="000000"/>
          <w:spacing w:val="15"/>
          <w:sz w:val="32"/>
          <w:szCs w:val="32"/>
        </w:rPr>
      </w:pPr>
      <w:r>
        <w:rPr>
          <w:rFonts w:hint="eastAsia" w:ascii="仿宋_GB2312" w:hAnsi="仿宋" w:eastAsia="仿宋_GB2312" w:cs="仿宋"/>
          <w:color w:val="000000"/>
          <w:spacing w:val="15"/>
          <w:sz w:val="32"/>
          <w:szCs w:val="32"/>
        </w:rPr>
        <w:t>10.完成区委、区政府交办的其他任务。</w:t>
      </w: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（二）人员构成情况</w:t>
      </w: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区外办行政编制6人，实际</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人。无聘用人员和离退休人员。</w:t>
      </w:r>
    </w:p>
    <w:p>
      <w:pPr>
        <w:keepNext w:val="0"/>
        <w:keepLines w:val="0"/>
        <w:pageBreakBefore w:val="0"/>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（三）本预算年度的主要工作任务</w:t>
      </w: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年是</w:t>
      </w:r>
      <w:r>
        <w:rPr>
          <w:rFonts w:hint="eastAsia" w:ascii="仿宋_GB2312" w:hAnsi="仿宋_GB2312" w:eastAsia="仿宋_GB2312" w:cs="仿宋_GB2312"/>
          <w:sz w:val="32"/>
          <w:szCs w:val="32"/>
          <w:lang w:eastAsia="zh-CN"/>
        </w:rPr>
        <w:t>落实党的二十大精神、</w:t>
      </w:r>
      <w:r>
        <w:rPr>
          <w:rFonts w:hint="eastAsia" w:ascii="仿宋_GB2312" w:hAnsi="仿宋_GB2312" w:eastAsia="仿宋_GB2312" w:cs="仿宋_GB2312"/>
          <w:sz w:val="32"/>
          <w:szCs w:val="32"/>
          <w:lang w:val="en-US" w:eastAsia="zh-CN"/>
        </w:rPr>
        <w:t>全党全国各族人民迈上全面建设社会主义现代化国家新征程、向第二个百年奋斗目标进军的关键之年，各项任务艰巨复杂。丰台区外事工作将坚持以习近平新时代中国特色社会主义思想为指导，深入贯彻党的二十大精神，认真落实党中央决策部署和市、区工作要求，立足新发展阶段，贯彻新发展理念，落实构建新发展格局要求，以推动高质量发展为主题，深入推进全面从严治党，开拓创新、锐意进取，以优异成绩用新的伟大奋斗创造新的伟业。</w:t>
      </w:r>
      <w:r>
        <w:rPr>
          <w:rFonts w:hint="eastAsia" w:ascii="仿宋_GB2312" w:hAnsi="仿宋_GB2312" w:eastAsia="仿宋_GB2312" w:cs="仿宋_GB2312"/>
          <w:sz w:val="32"/>
          <w:szCs w:val="32"/>
        </w:rPr>
        <w:t>持续</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国际交往中心功能建设</w:t>
      </w:r>
      <w:r>
        <w:rPr>
          <w:rFonts w:hint="eastAsia" w:ascii="仿宋_GB2312" w:hAnsi="仿宋_GB2312" w:eastAsia="仿宋_GB2312" w:cs="仿宋_GB2312"/>
          <w:sz w:val="32"/>
          <w:szCs w:val="32"/>
          <w:lang w:eastAsia="zh-CN"/>
        </w:rPr>
        <w:t>，打造高品质国际交往环境；加强民间外交，不断</w:t>
      </w:r>
      <w:r>
        <w:rPr>
          <w:rFonts w:hint="eastAsia" w:ascii="仿宋_GB2312" w:hAnsi="仿宋_GB2312" w:eastAsia="仿宋_GB2312" w:cs="仿宋_GB2312"/>
          <w:sz w:val="32"/>
          <w:szCs w:val="32"/>
        </w:rPr>
        <w:t>提升涉外管理服务水平。</w:t>
      </w:r>
    </w:p>
    <w:p>
      <w:pPr>
        <w:keepNext w:val="0"/>
        <w:keepLines w:val="0"/>
        <w:pageBreakBefore w:val="0"/>
        <w:kinsoku/>
        <w:wordWrap/>
        <w:overflowPunct/>
        <w:topLinePunct w:val="0"/>
        <w:autoSpaceDE w:val="0"/>
        <w:autoSpaceDN/>
        <w:bidi w:val="0"/>
        <w:snapToGrid/>
        <w:spacing w:line="560" w:lineRule="exact"/>
        <w:ind w:firstLine="640" w:firstLineChars="200"/>
        <w:textAlignment w:val="auto"/>
        <w:rPr>
          <w:rFonts w:ascii="黑体" w:hAnsi="黑体" w:eastAsia="黑体" w:cs="黑体"/>
          <w:sz w:val="32"/>
          <w:szCs w:val="32"/>
        </w:rPr>
      </w:pPr>
      <w:r>
        <w:rPr>
          <w:rFonts w:hint="eastAsia" w:ascii="仿宋_GB2312" w:hAnsi="仿宋" w:eastAsia="仿宋_GB2312"/>
          <w:sz w:val="32"/>
          <w:szCs w:val="32"/>
        </w:rPr>
        <w:t xml:space="preserve"> </w:t>
      </w:r>
      <w:r>
        <w:rPr>
          <w:rFonts w:ascii="黑体" w:hAnsi="黑体" w:eastAsia="黑体" w:cs="黑体"/>
          <w:sz w:val="32"/>
          <w:szCs w:val="32"/>
        </w:rPr>
        <w:t>二、收入预算说明</w:t>
      </w:r>
    </w:p>
    <w:p>
      <w:pPr>
        <w:keepNext w:val="0"/>
        <w:keepLines w:val="0"/>
        <w:pageBreakBefore w:val="0"/>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年收入预算</w:t>
      </w:r>
      <w:r>
        <w:rPr>
          <w:rFonts w:hint="eastAsia" w:ascii="仿宋_GB2312" w:hAnsi="仿宋_GB2312" w:eastAsia="仿宋_GB2312" w:cs="仿宋_GB2312"/>
          <w:sz w:val="32"/>
          <w:szCs w:val="32"/>
          <w:lang w:val="en-US" w:eastAsia="zh-CN"/>
        </w:rPr>
        <w:t>156.82</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132.95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23.87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18%</w:t>
      </w:r>
      <w:r>
        <w:rPr>
          <w:rFonts w:ascii="仿宋_GB2312" w:hAnsi="仿宋_GB2312" w:eastAsia="仿宋_GB2312" w:cs="仿宋_GB2312"/>
          <w:sz w:val="32"/>
          <w:szCs w:val="32"/>
        </w:rPr>
        <w:t>。其中：本年财政拨款收入</w:t>
      </w:r>
      <w:r>
        <w:rPr>
          <w:rFonts w:hint="eastAsia" w:ascii="仿宋_GB2312" w:hAnsi="仿宋_GB2312" w:eastAsia="仿宋_GB2312" w:cs="仿宋_GB2312"/>
          <w:sz w:val="32"/>
          <w:szCs w:val="32"/>
          <w:lang w:val="en-US" w:eastAsia="zh-CN"/>
        </w:rPr>
        <w:t>156.82</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132.95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23.87</w:t>
      </w:r>
      <w:r>
        <w:rPr>
          <w:rFonts w:ascii="仿宋_GB2312" w:hAnsi="仿宋_GB2312" w:eastAsia="仿宋_GB2312" w:cs="仿宋_GB2312"/>
          <w:sz w:val="32"/>
          <w:szCs w:val="32"/>
        </w:rPr>
        <w:t>万元。</w:t>
      </w:r>
    </w:p>
    <w:p>
      <w:pPr>
        <w:keepNext w:val="0"/>
        <w:keepLines w:val="0"/>
        <w:pageBreakBefore w:val="0"/>
        <w:kinsoku/>
        <w:wordWrap/>
        <w:overflowPunct/>
        <w:topLinePunct w:val="0"/>
        <w:autoSpaceDN/>
        <w:bidi w:val="0"/>
        <w:snapToGrid/>
        <w:spacing w:line="560" w:lineRule="exact"/>
        <w:ind w:firstLine="640" w:firstLineChars="200"/>
        <w:textAlignment w:val="auto"/>
        <w:rPr>
          <w:rFonts w:ascii="黑体" w:hAnsi="黑体" w:eastAsia="黑体" w:cs="黑体"/>
          <w:sz w:val="32"/>
          <w:szCs w:val="32"/>
        </w:rPr>
      </w:pPr>
      <w:r>
        <w:rPr>
          <w:rFonts w:ascii="黑体" w:hAnsi="黑体" w:eastAsia="黑体" w:cs="黑体"/>
          <w:sz w:val="32"/>
          <w:szCs w:val="32"/>
        </w:rPr>
        <w:t>三、支出预算说明</w:t>
      </w:r>
    </w:p>
    <w:p>
      <w:pPr>
        <w:keepNext w:val="0"/>
        <w:keepLines w:val="0"/>
        <w:pageBreakBefore w:val="0"/>
        <w:kinsoku/>
        <w:wordWrap/>
        <w:overflowPunct/>
        <w:topLinePunct w:val="0"/>
        <w:autoSpaceDN/>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（一）基本支出预算</w:t>
      </w:r>
      <w:r>
        <w:rPr>
          <w:rFonts w:hint="eastAsia" w:ascii="仿宋_GB2312" w:hAnsi="仿宋_GB2312" w:eastAsia="仿宋_GB2312" w:cs="仿宋_GB2312"/>
          <w:sz w:val="32"/>
          <w:szCs w:val="32"/>
          <w:lang w:val="en-US" w:eastAsia="zh-CN"/>
        </w:rPr>
        <w:t>152.39</w:t>
      </w:r>
      <w:r>
        <w:rPr>
          <w:rFonts w:ascii="仿宋_GB2312" w:hAnsi="仿宋_GB2312" w:eastAsia="仿宋_GB2312" w:cs="仿宋_GB2312"/>
          <w:sz w:val="32"/>
          <w:szCs w:val="32"/>
        </w:rPr>
        <w:t>万元，占总支出预算</w:t>
      </w:r>
      <w:r>
        <w:rPr>
          <w:rFonts w:hint="eastAsia" w:ascii="仿宋_GB2312" w:hAnsi="仿宋_GB2312" w:eastAsia="仿宋_GB2312" w:cs="仿宋_GB2312"/>
          <w:sz w:val="32"/>
          <w:szCs w:val="32"/>
          <w:lang w:val="en-US" w:eastAsia="zh-CN"/>
        </w:rPr>
        <w:t>97.2</w:t>
      </w:r>
      <w:r>
        <w:rPr>
          <w:rFonts w:ascii="仿宋_GB2312" w:hAnsi="仿宋_GB2312" w:eastAsia="仿宋_GB2312" w:cs="仿宋_GB2312"/>
          <w:sz w:val="32"/>
          <w:szCs w:val="32"/>
        </w:rPr>
        <w:t>%，比202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127.4</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24.98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19.6</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增加</w:t>
      </w:r>
      <w:r>
        <w:rPr>
          <w:rFonts w:ascii="仿宋_GB2312" w:hAnsi="仿宋_GB2312" w:eastAsia="仿宋_GB2312" w:cs="仿宋_GB2312"/>
          <w:sz w:val="32"/>
          <w:szCs w:val="32"/>
        </w:rPr>
        <w:t>原因：在职人员</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人，人员经费有所</w:t>
      </w:r>
      <w:r>
        <w:rPr>
          <w:rFonts w:hint="eastAsia" w:ascii="仿宋_GB2312" w:hAnsi="仿宋_GB2312" w:eastAsia="仿宋_GB2312" w:cs="仿宋_GB2312"/>
          <w:sz w:val="32"/>
          <w:szCs w:val="32"/>
          <w:lang w:eastAsia="zh-CN"/>
        </w:rPr>
        <w:t>增加</w:t>
      </w:r>
      <w:r>
        <w:rPr>
          <w:rFonts w:ascii="仿宋_GB2312" w:hAnsi="仿宋_GB2312" w:eastAsia="仿宋_GB2312" w:cs="仿宋_GB2312"/>
          <w:sz w:val="32"/>
          <w:szCs w:val="32"/>
        </w:rPr>
        <w:t>。</w:t>
      </w:r>
    </w:p>
    <w:p>
      <w:pPr>
        <w:keepNext w:val="0"/>
        <w:keepLines w:val="0"/>
        <w:pageBreakBefore w:val="0"/>
        <w:kinsoku/>
        <w:wordWrap/>
        <w:overflowPunct/>
        <w:topLinePunct w:val="0"/>
        <w:autoSpaceDN/>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（二）项目支出预算</w:t>
      </w:r>
      <w:r>
        <w:rPr>
          <w:rFonts w:hint="eastAsia" w:ascii="仿宋_GB2312" w:hAnsi="仿宋_GB2312" w:eastAsia="仿宋_GB2312" w:cs="仿宋_GB2312"/>
          <w:sz w:val="32"/>
          <w:szCs w:val="32"/>
          <w:lang w:val="en-US" w:eastAsia="zh-CN"/>
        </w:rPr>
        <w:t>4.43</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5.55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1.12万</w:t>
      </w:r>
      <w:r>
        <w:rPr>
          <w:rFonts w:ascii="仿宋_GB2312" w:hAnsi="仿宋_GB2312" w:eastAsia="仿宋_GB2312" w:cs="仿宋_GB2312"/>
          <w:sz w:val="32"/>
          <w:szCs w:val="32"/>
        </w:rPr>
        <w:t>元，减少</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部门预算项目主要为外事工作经费和基层党组织党建活动经费。</w:t>
      </w:r>
    </w:p>
    <w:p>
      <w:pPr>
        <w:keepNext w:val="0"/>
        <w:keepLines w:val="0"/>
        <w:pageBreakBefore w:val="0"/>
        <w:kinsoku/>
        <w:wordWrap/>
        <w:overflowPunct/>
        <w:topLinePunct w:val="0"/>
        <w:autoSpaceDN/>
        <w:bidi w:val="0"/>
        <w:snapToGrid/>
        <w:spacing w:line="560" w:lineRule="exact"/>
        <w:ind w:firstLine="640" w:firstLineChars="200"/>
        <w:textAlignment w:val="auto"/>
        <w:rPr>
          <w:rFonts w:ascii="黑体" w:hAnsi="黑体" w:eastAsia="黑体" w:cs="黑体"/>
          <w:sz w:val="32"/>
          <w:szCs w:val="32"/>
        </w:rPr>
      </w:pPr>
      <w:r>
        <w:rPr>
          <w:rFonts w:ascii="黑体" w:hAnsi="黑体" w:eastAsia="黑体" w:cs="黑体"/>
          <w:sz w:val="32"/>
          <w:szCs w:val="32"/>
        </w:rPr>
        <w:t>四、部门三公经费财政拨款预算说明</w:t>
      </w:r>
    </w:p>
    <w:p>
      <w:pPr>
        <w:keepNext w:val="0"/>
        <w:keepLines w:val="0"/>
        <w:pageBreakBefore w:val="0"/>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（一）三公经费的单位范围</w:t>
      </w:r>
    </w:p>
    <w:p>
      <w:pPr>
        <w:keepNext w:val="0"/>
        <w:keepLines w:val="0"/>
        <w:pageBreakBefore w:val="0"/>
        <w:kinsoku/>
        <w:wordWrap/>
        <w:overflowPunct/>
        <w:topLinePunct w:val="0"/>
        <w:autoSpaceDN/>
        <w:bidi w:val="0"/>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区外办</w:t>
      </w:r>
      <w:r>
        <w:rPr>
          <w:rFonts w:hint="eastAsia" w:ascii="仿宋_GB2312" w:hAnsi="仿宋_GB2312" w:eastAsia="仿宋_GB2312" w:cs="仿宋_GB2312"/>
          <w:sz w:val="32"/>
          <w:szCs w:val="32"/>
          <w:lang w:val="en-US" w:eastAsia="zh-CN"/>
        </w:rPr>
        <w:t>部门</w:t>
      </w:r>
      <w:r>
        <w:rPr>
          <w:rFonts w:ascii="仿宋_GB2312" w:hAnsi="仿宋_GB2312" w:eastAsia="仿宋_GB2312" w:cs="仿宋_GB2312"/>
          <w:sz w:val="32"/>
          <w:szCs w:val="32"/>
        </w:rPr>
        <w:t>因公出国（境）费用、公务接待费、公务用车购置和运行维护费开支仅包括本</w:t>
      </w:r>
      <w:r>
        <w:rPr>
          <w:rFonts w:hint="eastAsia" w:ascii="仿宋_GB2312" w:hAnsi="仿宋_GB2312" w:eastAsia="仿宋_GB2312" w:cs="仿宋_GB2312"/>
          <w:sz w:val="32"/>
          <w:szCs w:val="32"/>
          <w:lang w:val="en-US" w:eastAsia="zh-CN"/>
        </w:rPr>
        <w:t>单位</w:t>
      </w:r>
      <w:r>
        <w:rPr>
          <w:rFonts w:ascii="仿宋_GB2312" w:hAnsi="仿宋_GB2312" w:eastAsia="仿宋_GB2312" w:cs="仿宋_GB2312"/>
          <w:sz w:val="32"/>
          <w:szCs w:val="32"/>
        </w:rPr>
        <w:t>。</w:t>
      </w:r>
    </w:p>
    <w:p>
      <w:pPr>
        <w:keepNext w:val="0"/>
        <w:keepLines w:val="0"/>
        <w:pageBreakBefore w:val="0"/>
        <w:numPr>
          <w:ilvl w:val="0"/>
          <w:numId w:val="1"/>
        </w:numPr>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三公经费财政拨款情况说明</w:t>
      </w:r>
    </w:p>
    <w:p>
      <w:pPr>
        <w:keepNext w:val="0"/>
        <w:keepLines w:val="0"/>
        <w:pageBreakBefore w:val="0"/>
        <w:kinsoku/>
        <w:wordWrap/>
        <w:overflowPunct/>
        <w:topLinePunct w:val="0"/>
        <w:autoSpaceDN/>
        <w:bidi w:val="0"/>
        <w:snapToGrid/>
        <w:spacing w:line="560" w:lineRule="exact"/>
        <w:ind w:firstLine="707" w:firstLineChars="221"/>
        <w:textAlignment w:val="auto"/>
        <w:rPr>
          <w:rFonts w:hint="eastAsia" w:ascii="仿宋_GB2312" w:hAnsi="仿宋_GB2312" w:eastAsia="仿宋_GB2312" w:cs="仿宋_GB2312"/>
          <w:sz w:val="32"/>
          <w:szCs w:val="32"/>
          <w:lang w:val="en-US" w:eastAsia="zh-CN"/>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年三公</w:t>
      </w:r>
      <w:r>
        <w:rPr>
          <w:rFonts w:hint="eastAsia" w:ascii="仿宋_GB2312" w:hAnsi="仿宋_GB2312" w:eastAsia="仿宋_GB2312" w:cs="仿宋_GB2312"/>
          <w:sz w:val="32"/>
          <w:szCs w:val="32"/>
          <w:lang w:eastAsia="zh-CN"/>
        </w:rPr>
        <w:t>经费</w:t>
      </w:r>
      <w:r>
        <w:rPr>
          <w:rFonts w:ascii="仿宋_GB2312" w:hAnsi="仿宋_GB2312" w:eastAsia="仿宋_GB2312" w:cs="仿宋_GB2312"/>
          <w:sz w:val="32"/>
          <w:szCs w:val="32"/>
        </w:rPr>
        <w:t>财政拨款预算</w:t>
      </w:r>
      <w:r>
        <w:rPr>
          <w:rFonts w:hint="eastAsia" w:ascii="仿宋_GB2312" w:hAnsi="仿宋_GB2312" w:eastAsia="仿宋_GB2312" w:cs="仿宋_GB2312"/>
          <w:sz w:val="32"/>
          <w:szCs w:val="32"/>
          <w:lang w:val="en-US" w:eastAsia="zh-CN"/>
        </w:rPr>
        <w:t>0元，其中：</w:t>
      </w:r>
    </w:p>
    <w:p>
      <w:pPr>
        <w:keepNext w:val="0"/>
        <w:keepLines w:val="0"/>
        <w:pageBreakBefore w:val="0"/>
        <w:numPr>
          <w:ilvl w:val="0"/>
          <w:numId w:val="0"/>
        </w:numPr>
        <w:kinsoku/>
        <w:wordWrap/>
        <w:overflowPunct/>
        <w:topLinePunct w:val="0"/>
        <w:autoSpaceDN/>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1.因公出国(境)费用。2023年预算数0元，与2022年持平。</w:t>
      </w:r>
    </w:p>
    <w:p>
      <w:pPr>
        <w:keepNext w:val="0"/>
        <w:keepLines w:val="0"/>
        <w:pageBreakBefore w:val="0"/>
        <w:numPr>
          <w:ilvl w:val="0"/>
          <w:numId w:val="0"/>
        </w:numPr>
        <w:kinsoku/>
        <w:wordWrap/>
        <w:overflowPunct/>
        <w:topLinePunct w:val="0"/>
        <w:autoSpaceDN/>
        <w:bidi w:val="0"/>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2.公务接待费。2023年预算数0元，与2022年持平。</w:t>
      </w:r>
    </w:p>
    <w:p>
      <w:pPr>
        <w:keepNext w:val="0"/>
        <w:keepLines w:val="0"/>
        <w:pageBreakBefore w:val="0"/>
        <w:numPr>
          <w:ilvl w:val="0"/>
          <w:numId w:val="0"/>
        </w:numPr>
        <w:kinsoku/>
        <w:wordWrap/>
        <w:overflowPunct/>
        <w:topLinePunct w:val="0"/>
        <w:autoSpaceDN/>
        <w:bidi w:val="0"/>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3.公务用车购置和运行维护费。2023年预算数0元，与2022年持平。</w:t>
      </w:r>
    </w:p>
    <w:p>
      <w:pPr>
        <w:keepNext w:val="0"/>
        <w:keepLines w:val="0"/>
        <w:pageBreakBefore w:val="0"/>
        <w:kinsoku/>
        <w:wordWrap/>
        <w:overflowPunct/>
        <w:topLinePunct w:val="0"/>
        <w:autoSpaceDN/>
        <w:bidi w:val="0"/>
        <w:snapToGrid/>
        <w:spacing w:line="560" w:lineRule="exact"/>
        <w:ind w:firstLine="640" w:firstLineChars="200"/>
        <w:textAlignment w:val="auto"/>
        <w:rPr>
          <w:rFonts w:ascii="黑体" w:hAnsi="黑体" w:eastAsia="黑体" w:cs="黑体"/>
          <w:sz w:val="32"/>
          <w:szCs w:val="32"/>
        </w:rPr>
      </w:pPr>
      <w:r>
        <w:rPr>
          <w:rFonts w:ascii="黑体" w:hAnsi="黑体" w:eastAsia="黑体" w:cs="黑体"/>
          <w:sz w:val="32"/>
          <w:szCs w:val="32"/>
        </w:rPr>
        <w:t>五、其他情况说明</w:t>
      </w:r>
    </w:p>
    <w:p>
      <w:pPr>
        <w:keepNext w:val="0"/>
        <w:keepLines w:val="0"/>
        <w:pageBreakBefore w:val="0"/>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（一）部门政府采购预算说明</w:t>
      </w:r>
    </w:p>
    <w:p>
      <w:pPr>
        <w:keepNext w:val="0"/>
        <w:keepLines w:val="0"/>
        <w:pageBreakBefore w:val="0"/>
        <w:kinsoku/>
        <w:wordWrap/>
        <w:overflowPunct/>
        <w:topLinePunct w:val="0"/>
        <w:autoSpaceDN/>
        <w:bidi w:val="0"/>
        <w:snapToGrid/>
        <w:spacing w:line="560" w:lineRule="exact"/>
        <w:textAlignment w:val="auto"/>
        <w:rPr>
          <w:rFonts w:ascii="宋体" w:hAnsi="宋体" w:cs="宋体"/>
          <w:sz w:val="32"/>
          <w:szCs w:val="32"/>
        </w:rPr>
      </w:pPr>
      <w:r>
        <w:rPr>
          <w:rFonts w:ascii="宋体" w:hAnsi="宋体" w:cs="宋体"/>
          <w:sz w:val="32"/>
          <w:szCs w:val="32"/>
        </w:rPr>
        <w:t xml:space="preserve">   </w:t>
      </w: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政府采购预算总额</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元。</w:t>
      </w:r>
    </w:p>
    <w:p>
      <w:pPr>
        <w:keepNext w:val="0"/>
        <w:keepLines w:val="0"/>
        <w:pageBreakBefore w:val="0"/>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（二）政府购买服务预算说明</w:t>
      </w:r>
    </w:p>
    <w:p>
      <w:pPr>
        <w:keepNext w:val="0"/>
        <w:keepLines w:val="0"/>
        <w:pageBreakBefore w:val="0"/>
        <w:kinsoku/>
        <w:wordWrap/>
        <w:overflowPunct/>
        <w:topLinePunct w:val="0"/>
        <w:autoSpaceDN/>
        <w:bidi w:val="0"/>
        <w:snapToGrid/>
        <w:spacing w:line="560" w:lineRule="exact"/>
        <w:ind w:firstLine="640" w:firstLineChars="200"/>
        <w:textAlignment w:val="auto"/>
        <w:rPr>
          <w:rFonts w:ascii="宋体" w:hAnsi="宋体" w:cs="宋体"/>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政府购买服务预算总额</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元。</w:t>
      </w:r>
    </w:p>
    <w:p>
      <w:pPr>
        <w:keepNext w:val="0"/>
        <w:keepLines w:val="0"/>
        <w:pageBreakBefore w:val="0"/>
        <w:kinsoku/>
        <w:wordWrap/>
        <w:overflowPunct/>
        <w:topLinePunct w:val="0"/>
        <w:autoSpaceDN/>
        <w:bidi w:val="0"/>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（三）机关运行经费情况说明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ascii="宋体" w:hAnsi="宋体" w:cs="宋体"/>
          <w:sz w:val="32"/>
          <w:szCs w:val="32"/>
        </w:rPr>
        <w:t xml:space="preserve">    </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机关运行经费财政拨款预算</w:t>
      </w:r>
      <w:r>
        <w:rPr>
          <w:rFonts w:hint="eastAsia" w:ascii="仿宋_GB2312" w:hAnsi="仿宋_GB2312" w:eastAsia="仿宋_GB2312" w:cs="仿宋_GB2312"/>
          <w:sz w:val="32"/>
          <w:szCs w:val="32"/>
          <w:lang w:val="en-US" w:eastAsia="zh-CN"/>
        </w:rPr>
        <w:t>9.24</w:t>
      </w:r>
      <w:r>
        <w:rPr>
          <w:rFonts w:ascii="仿宋_GB2312" w:hAnsi="仿宋_GB2312" w:eastAsia="仿宋_GB2312" w:cs="仿宋_GB2312"/>
          <w:sz w:val="32"/>
          <w:szCs w:val="32"/>
        </w:rPr>
        <w:t>万元。机关运行经费是</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rPr>
        <w:t>行政单位使用一般公共预算财政拨款安排的日常公用经费支出</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包括办公及印刷费、邮电费、差旅费、会议费、福利费、日常维修费、专用材料及一般设备购置费、办公用房水电费、办公用房取暖费</w:t>
      </w:r>
      <w:r>
        <w:rPr>
          <w:rFonts w:hint="eastAsia" w:ascii="仿宋_GB2312" w:hAnsi="仿宋_GB2312" w:eastAsia="仿宋_GB2312" w:cs="仿宋_GB2312"/>
          <w:sz w:val="32"/>
          <w:szCs w:val="32"/>
          <w:lang w:val="en-US" w:eastAsia="zh-CN"/>
        </w:rPr>
        <w:t>等</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cs="宋体"/>
          <w:sz w:val="32"/>
          <w:szCs w:val="32"/>
        </w:rPr>
      </w:pPr>
      <w:r>
        <w:rPr>
          <w:rFonts w:ascii="楷体_GB2312" w:hAnsi="楷体_GB2312" w:eastAsia="楷体_GB2312" w:cs="楷体_GB2312"/>
          <w:sz w:val="32"/>
          <w:szCs w:val="32"/>
        </w:rPr>
        <w:t xml:space="preserve">（四）项目支出绩效目标情况说明 </w:t>
      </w:r>
      <w:r>
        <w:rPr>
          <w:rFonts w:ascii="宋体" w:hAnsi="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填报绩效目标的预算项目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个，占全部预算项目</w:t>
      </w:r>
      <w:r>
        <w:rPr>
          <w:rFonts w:hint="eastAsia" w:ascii="仿宋_GB2312" w:hAnsi="仿宋_GB2312" w:eastAsia="仿宋_GB2312" w:cs="仿宋_GB2312"/>
          <w:sz w:val="32"/>
          <w:szCs w:val="32"/>
          <w:lang w:val="en-US" w:eastAsia="zh-CN"/>
        </w:rPr>
        <w:t>的100</w:t>
      </w:r>
      <w:r>
        <w:rPr>
          <w:rFonts w:ascii="仿宋_GB2312" w:hAnsi="仿宋_GB2312" w:eastAsia="仿宋_GB2312" w:cs="仿宋_GB2312"/>
          <w:sz w:val="32"/>
          <w:szCs w:val="32"/>
        </w:rPr>
        <w:t>%。填报绩效目标的项目支出预算</w:t>
      </w:r>
      <w:r>
        <w:rPr>
          <w:rFonts w:hint="eastAsia" w:ascii="仿宋_GB2312" w:hAnsi="仿宋_GB2312" w:eastAsia="仿宋_GB2312" w:cs="仿宋_GB2312"/>
          <w:sz w:val="32"/>
          <w:szCs w:val="32"/>
          <w:lang w:val="en-US" w:eastAsia="zh-CN"/>
        </w:rPr>
        <w:t>4.43</w:t>
      </w:r>
      <w:r>
        <w:rPr>
          <w:rFonts w:ascii="仿宋_GB2312" w:hAnsi="仿宋_GB2312" w:eastAsia="仿宋_GB2312" w:cs="仿宋_GB2312"/>
          <w:sz w:val="32"/>
          <w:szCs w:val="32"/>
        </w:rPr>
        <w:t>万元，占本部门全部项目支出预算的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%。（注：不含基本支出）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（五）重点行政事业性收费情况说明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年无重点行政事业性收费。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（六）国有资本经营预算财政拨款情况说明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区外办</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ascii="仿宋_GB2312" w:hAnsi="仿宋_GB2312" w:eastAsia="仿宋_GB2312" w:cs="仿宋_GB2312"/>
          <w:sz w:val="32"/>
          <w:szCs w:val="32"/>
        </w:rPr>
        <w:t>年无国有资本经营预算财政拨款安排的预算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ascii="楷体_GB2312" w:hAnsi="楷体_GB2312" w:eastAsia="楷体_GB2312" w:cs="楷体_GB2312"/>
          <w:sz w:val="32"/>
          <w:szCs w:val="32"/>
        </w:rPr>
        <w:t>（七）国有资产占有使用情况说明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截止2022年底，区外办不单独占用固定资产，所使用固定资产由区机关事务管理服务中心管理。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八）</w:t>
      </w:r>
      <w:r>
        <w:rPr>
          <w:rFonts w:ascii="楷体_GB2312" w:hAnsi="楷体_GB2312" w:eastAsia="楷体_GB2312" w:cs="楷体_GB2312"/>
          <w:sz w:val="32"/>
          <w:szCs w:val="32"/>
        </w:rPr>
        <w:t>其他事项说明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无其他需要说明事项。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spacing w:val="15"/>
          <w:sz w:val="32"/>
          <w:szCs w:val="32"/>
          <w:lang w:val="en-US" w:eastAsia="zh-CN" w:bidi="ar"/>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color w:val="000000"/>
          <w:spacing w:val="15"/>
          <w:sz w:val="32"/>
          <w:szCs w:val="32"/>
          <w:lang w:val="en-US" w:eastAsia="zh-CN" w:bidi="ar"/>
        </w:rPr>
        <w:t>部门预算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15"/>
          <w:sz w:val="32"/>
          <w:szCs w:val="32"/>
          <w:lang w:val="en-US" w:eastAsia="zh-CN" w:bidi="ar"/>
        </w:rPr>
        <w:t>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（二）三公经费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00" w:firstLineChars="200"/>
        <w:jc w:val="both"/>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00" w:firstLineChars="200"/>
        <w:jc w:val="both"/>
        <w:textAlignment w:val="auto"/>
        <w:rPr>
          <w:rFonts w:hint="eastAsia" w:ascii="楷体_GB2312" w:hAnsi="楷体_GB2312" w:eastAsia="楷体_GB2312" w:cs="楷体_GB2312"/>
          <w:color w:val="000000"/>
          <w:spacing w:val="15"/>
          <w:kern w:val="0"/>
          <w:sz w:val="32"/>
          <w:szCs w:val="32"/>
          <w:lang w:val="en-US" w:eastAsia="zh-CN" w:bidi="ar"/>
        </w:rPr>
      </w:pPr>
      <w:r>
        <w:rPr>
          <w:rFonts w:hint="eastAsia" w:ascii="楷体_GB2312" w:hAnsi="楷体_GB2312" w:eastAsia="楷体_GB2312" w:cs="楷体_GB2312"/>
          <w:color w:val="000000"/>
          <w:spacing w:val="15"/>
          <w:kern w:val="0"/>
          <w:sz w:val="32"/>
          <w:szCs w:val="32"/>
          <w:lang w:val="en-US" w:eastAsia="zh-CN" w:bidi="ar"/>
        </w:rPr>
        <w:t>（三）机关运行经费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00" w:firstLineChars="200"/>
        <w:jc w:val="both"/>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机关运行经费是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00" w:firstLineChars="200"/>
        <w:jc w:val="both"/>
        <w:textAlignment w:val="auto"/>
        <w:rPr>
          <w:rFonts w:hint="eastAsia" w:ascii="楷体_GB2312" w:hAnsi="楷体_GB2312" w:eastAsia="楷体_GB2312" w:cs="楷体_GB2312"/>
          <w:color w:val="000000"/>
          <w:spacing w:val="15"/>
          <w:kern w:val="0"/>
          <w:sz w:val="32"/>
          <w:szCs w:val="32"/>
          <w:lang w:val="en-US" w:eastAsia="zh-CN" w:bidi="ar"/>
        </w:rPr>
      </w:pPr>
      <w:r>
        <w:rPr>
          <w:rFonts w:hint="eastAsia" w:ascii="楷体_GB2312" w:hAnsi="楷体_GB2312" w:eastAsia="楷体_GB2312" w:cs="楷体_GB2312"/>
          <w:color w:val="000000"/>
          <w:spacing w:val="15"/>
          <w:kern w:val="0"/>
          <w:sz w:val="32"/>
          <w:szCs w:val="32"/>
          <w:lang w:val="en-US" w:eastAsia="zh-CN" w:bidi="ar"/>
        </w:rPr>
        <w:t>（四）政府购买服务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rPr>
      </w:pPr>
      <w:r>
        <w:rPr>
          <w:rFonts w:hint="eastAsia" w:ascii="仿宋_GB2312" w:hAnsi="仿宋_GB2312" w:eastAsia="仿宋_GB2312" w:cs="仿宋_GB2312"/>
          <w:color w:val="000000"/>
          <w:spacing w:val="15"/>
          <w:kern w:val="0"/>
          <w:sz w:val="32"/>
          <w:szCs w:val="32"/>
          <w:lang w:val="en-US" w:eastAsia="zh-CN" w:bidi="ar"/>
        </w:rPr>
        <w:t>政府购买服务是通过发挥市场机制作用，把政府直接向社会公众提供的公共服务等事项，按照一定的方式和程序，交由具备条件的社会力量承担，并由政府根据服务数量和质量向其支付费用。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700" w:firstLineChars="200"/>
        <w:jc w:val="both"/>
        <w:textAlignment w:val="auto"/>
        <w:rPr>
          <w:rFonts w:hint="eastAsia" w:ascii="楷体_GB2312" w:hAnsi="楷体_GB2312" w:eastAsia="楷体_GB2312" w:cs="楷体_GB2312"/>
          <w:color w:val="000000"/>
          <w:spacing w:val="15"/>
          <w:kern w:val="0"/>
          <w:sz w:val="32"/>
          <w:szCs w:val="32"/>
          <w:lang w:val="en-US" w:eastAsia="zh-CN" w:bidi="ar"/>
        </w:rPr>
      </w:pPr>
      <w:r>
        <w:rPr>
          <w:rFonts w:hint="eastAsia" w:ascii="楷体_GB2312" w:hAnsi="楷体_GB2312" w:eastAsia="楷体_GB2312" w:cs="楷体_GB2312"/>
          <w:color w:val="000000"/>
          <w:spacing w:val="15"/>
          <w:kern w:val="0"/>
          <w:sz w:val="32"/>
          <w:szCs w:val="32"/>
          <w:lang w:val="en-US" w:eastAsia="zh-CN" w:bidi="ar"/>
        </w:rPr>
        <w:t>（五）预算绩效管理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color w:val="000000"/>
          <w:spacing w:val="15"/>
          <w:kern w:val="0"/>
          <w:sz w:val="32"/>
          <w:szCs w:val="32"/>
          <w:lang w:val="en-US" w:eastAsia="zh-CN" w:bidi="ar"/>
        </w:rPr>
      </w:pPr>
      <w:r>
        <w:rPr>
          <w:rFonts w:hint="eastAsia" w:ascii="仿宋_GB2312" w:hAnsi="仿宋_GB2312" w:eastAsia="仿宋_GB2312" w:cs="仿宋_GB2312"/>
          <w:color w:val="000000"/>
          <w:spacing w:val="15"/>
          <w:kern w:val="0"/>
          <w:sz w:val="32"/>
          <w:szCs w:val="32"/>
          <w:lang w:val="en-US" w:eastAsia="zh-CN" w:bidi="ar"/>
        </w:rPr>
        <w:t>预算绩效管理是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widowControl w:val="0"/>
        <w:suppressLineNumbers w:val="0"/>
        <w:spacing w:before="0" w:beforeAutospacing="0" w:after="0" w:afterAutospacing="0" w:line="560" w:lineRule="exact"/>
        <w:ind w:left="0" w:right="0" w:firstLine="700" w:firstLineChars="200"/>
        <w:jc w:val="both"/>
        <w:rPr>
          <w:rFonts w:hint="eastAsia" w:ascii="仿宋_GB2312" w:hAnsi="仿宋_GB2312" w:eastAsia="仿宋_GB2312" w:cs="仿宋_GB2312"/>
          <w:color w:val="000000"/>
          <w:spacing w:val="15"/>
          <w:kern w:val="0"/>
          <w:sz w:val="32"/>
          <w:szCs w:val="32"/>
          <w:lang w:val="en-US" w:eastAsia="zh-CN" w:bidi="ar"/>
        </w:rPr>
      </w:pPr>
    </w:p>
    <w:p>
      <w:pPr>
        <w:keepNext w:val="0"/>
        <w:keepLines w:val="0"/>
        <w:pageBreakBefore w:val="0"/>
        <w:widowControl/>
        <w:kinsoku/>
        <w:wordWrap/>
        <w:overflowPunct/>
        <w:topLinePunct w:val="0"/>
        <w:autoSpaceDN/>
        <w:bidi w:val="0"/>
        <w:snapToGrid/>
        <w:spacing w:line="560" w:lineRule="exact"/>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kinsoku/>
        <w:wordWrap/>
        <w:overflowPunct/>
        <w:topLinePunct w:val="0"/>
        <w:autoSpaceDN/>
        <w:bidi w:val="0"/>
        <w:snapToGrid/>
        <w:spacing w:line="560" w:lineRule="exac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第二部分</w:t>
      </w:r>
    </w:p>
    <w:p>
      <w:pPr>
        <w:keepNext w:val="0"/>
        <w:keepLines w:val="0"/>
        <w:pageBreakBefore w:val="0"/>
        <w:widowControl/>
        <w:kinsoku/>
        <w:wordWrap/>
        <w:overflowPunct/>
        <w:topLinePunct w:val="0"/>
        <w:autoSpaceDN/>
        <w:bidi w:val="0"/>
        <w:snapToGrid/>
        <w:spacing w:line="560" w:lineRule="exact"/>
        <w:textAlignment w:val="auto"/>
        <w:rPr>
          <w:rFonts w:hint="default" w:ascii="方正小标宋简体" w:hAnsi="方正小标宋简体" w:eastAsia="方正小标宋简体" w:cs="方正小标宋简体"/>
          <w:sz w:val="32"/>
          <w:szCs w:val="32"/>
          <w:lang w:val="en-US" w:eastAsia="zh-CN"/>
        </w:rPr>
      </w:pPr>
    </w:p>
    <w:p>
      <w:pPr>
        <w:keepNext w:val="0"/>
        <w:keepLines w:val="0"/>
        <w:pageBreakBefore w:val="0"/>
        <w:widowControl/>
        <w:kinsoku/>
        <w:wordWrap/>
        <w:overflowPunct/>
        <w:topLinePunct w:val="0"/>
        <w:autoSpaceDN/>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年部门预算报表</w:t>
      </w:r>
    </w:p>
    <w:p>
      <w:pPr>
        <w:keepNext w:val="0"/>
        <w:keepLines w:val="0"/>
        <w:pageBreakBefore w:val="0"/>
        <w:widowControl/>
        <w:kinsoku/>
        <w:wordWrap/>
        <w:overflowPunct/>
        <w:topLinePunct w:val="0"/>
        <w:autoSpaceDN/>
        <w:bidi w:val="0"/>
        <w:adjustRightInd w:val="0"/>
        <w:snapToGrid/>
        <w:spacing w:line="560" w:lineRule="exact"/>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 xml:space="preserve">   </w:t>
      </w:r>
    </w:p>
    <w:p>
      <w:pPr>
        <w:keepNext w:val="0"/>
        <w:keepLines w:val="0"/>
        <w:pageBreakBefore w:val="0"/>
        <w:widowControl/>
        <w:kinsoku/>
        <w:wordWrap/>
        <w:overflowPunct/>
        <w:topLinePunct w:val="0"/>
        <w:autoSpaceDN/>
        <w:bidi w:val="0"/>
        <w:adjustRightInd w:val="0"/>
        <w:snapToGrid/>
        <w:spacing w:line="560" w:lineRule="exact"/>
        <w:ind w:firstLine="700" w:firstLineChars="200"/>
        <w:jc w:val="both"/>
        <w:textAlignment w:val="auto"/>
        <w:rPr>
          <w:rFonts w:ascii="仿宋_GB2312" w:hAnsi="宋体" w:eastAsia="仿宋_GB2312" w:cs="宋体"/>
          <w:color w:val="000000"/>
          <w:spacing w:val="17"/>
          <w:w w:val="95"/>
          <w:kern w:val="0"/>
          <w:sz w:val="32"/>
          <w:szCs w:val="32"/>
        </w:rPr>
      </w:pPr>
      <w:r>
        <w:rPr>
          <w:rFonts w:hint="eastAsia" w:ascii="仿宋_GB2312" w:hAnsi="宋体" w:eastAsia="仿宋_GB2312" w:cs="宋体"/>
          <w:color w:val="000000"/>
          <w:spacing w:val="15"/>
          <w:kern w:val="0"/>
          <w:sz w:val="32"/>
          <w:szCs w:val="32"/>
        </w:rPr>
        <w:t>详见附件：</w:t>
      </w:r>
      <w:r>
        <w:rPr>
          <w:rFonts w:hint="eastAsia" w:ascii="仿宋_GB2312" w:hAnsi="宋体" w:eastAsia="仿宋_GB2312" w:cs="宋体"/>
          <w:color w:val="000000"/>
          <w:spacing w:val="17"/>
          <w:w w:val="95"/>
          <w:kern w:val="0"/>
          <w:sz w:val="32"/>
          <w:szCs w:val="32"/>
          <w:lang w:val="en-US" w:eastAsia="zh-CN"/>
        </w:rPr>
        <w:t>北京市丰台区人民政府外事办公室</w:t>
      </w:r>
      <w:bookmarkStart w:id="0" w:name="_GoBack"/>
      <w:bookmarkEnd w:id="0"/>
      <w:r>
        <w:rPr>
          <w:rFonts w:hint="eastAsia" w:ascii="仿宋_GB2312" w:hAnsi="宋体" w:eastAsia="仿宋_GB2312" w:cs="宋体"/>
          <w:color w:val="000000"/>
          <w:spacing w:val="17"/>
          <w:w w:val="95"/>
          <w:kern w:val="0"/>
          <w:sz w:val="32"/>
          <w:szCs w:val="32"/>
        </w:rPr>
        <w:t>202</w:t>
      </w:r>
      <w:r>
        <w:rPr>
          <w:rFonts w:hint="eastAsia" w:ascii="仿宋_GB2312" w:hAnsi="宋体" w:eastAsia="仿宋_GB2312" w:cs="宋体"/>
          <w:color w:val="000000"/>
          <w:spacing w:val="17"/>
          <w:w w:val="95"/>
          <w:kern w:val="0"/>
          <w:sz w:val="32"/>
          <w:szCs w:val="32"/>
          <w:lang w:val="en-US" w:eastAsia="zh-CN"/>
        </w:rPr>
        <w:t>3</w:t>
      </w:r>
      <w:r>
        <w:rPr>
          <w:rFonts w:hint="eastAsia" w:ascii="仿宋_GB2312" w:hAnsi="宋体" w:eastAsia="仿宋_GB2312" w:cs="宋体"/>
          <w:color w:val="000000"/>
          <w:spacing w:val="17"/>
          <w:w w:val="95"/>
          <w:kern w:val="0"/>
          <w:sz w:val="32"/>
          <w:szCs w:val="32"/>
        </w:rPr>
        <w:t>年部门预算报表</w:t>
      </w:r>
    </w:p>
    <w:p>
      <w:pPr>
        <w:keepNext w:val="0"/>
        <w:keepLines w:val="0"/>
        <w:pageBreakBefore w:val="0"/>
        <w:kinsoku/>
        <w:wordWrap/>
        <w:overflowPunct/>
        <w:topLinePunct w:val="0"/>
        <w:autoSpaceDN/>
        <w:bidi w:val="0"/>
        <w:snapToGrid/>
        <w:spacing w:line="560" w:lineRule="exact"/>
        <w:textAlignment w:val="auto"/>
        <w:rPr>
          <w:rFonts w:ascii="楷体_GB2312" w:hAnsi="楷体_GB2312" w:eastAsia="楷体_GB2312" w:cs="楷体_GB2312"/>
          <w:sz w:val="32"/>
          <w:szCs w:val="32"/>
        </w:rPr>
      </w:pPr>
    </w:p>
    <w:sectPr>
      <w:footerReference r:id="rId3" w:type="default"/>
      <w:pgSz w:w="11906" w:h="16838"/>
      <w:pgMar w:top="1871" w:right="1361" w:bottom="1871" w:left="1474" w:header="992"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0000000000000000000"/>
    <w:charset w:val="86"/>
    <w:family w:val="auto"/>
    <w:pitch w:val="default"/>
    <w:sig w:usb0="00000000" w:usb1="00000000" w:usb2="00000016" w:usb3="00000000" w:csb0="602E0107"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128F2"/>
    <w:multiLevelType w:val="singleLevel"/>
    <w:tmpl w:val="2DD128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941"/>
    <w:rsid w:val="001D6428"/>
    <w:rsid w:val="002C5CB2"/>
    <w:rsid w:val="00372941"/>
    <w:rsid w:val="005E56C1"/>
    <w:rsid w:val="009C1322"/>
    <w:rsid w:val="00C26CD7"/>
    <w:rsid w:val="00C811B2"/>
    <w:rsid w:val="00D02E15"/>
    <w:rsid w:val="00F54178"/>
    <w:rsid w:val="00FE4978"/>
    <w:rsid w:val="06CA1566"/>
    <w:rsid w:val="06DE7D56"/>
    <w:rsid w:val="0F6B4355"/>
    <w:rsid w:val="10AE7C10"/>
    <w:rsid w:val="16D523A2"/>
    <w:rsid w:val="18485519"/>
    <w:rsid w:val="191C7D18"/>
    <w:rsid w:val="19ED309F"/>
    <w:rsid w:val="1A194442"/>
    <w:rsid w:val="1A7E13F2"/>
    <w:rsid w:val="1A9C2B85"/>
    <w:rsid w:val="1CBD7D2E"/>
    <w:rsid w:val="1CFF68F4"/>
    <w:rsid w:val="20A03A46"/>
    <w:rsid w:val="21A32B83"/>
    <w:rsid w:val="24110F49"/>
    <w:rsid w:val="249D5B37"/>
    <w:rsid w:val="27BF16B4"/>
    <w:rsid w:val="28546FC0"/>
    <w:rsid w:val="295E757F"/>
    <w:rsid w:val="2AAC6377"/>
    <w:rsid w:val="2D97542A"/>
    <w:rsid w:val="2FE7105C"/>
    <w:rsid w:val="31BB2769"/>
    <w:rsid w:val="32C21411"/>
    <w:rsid w:val="35776221"/>
    <w:rsid w:val="373D475A"/>
    <w:rsid w:val="373F3050"/>
    <w:rsid w:val="3A491099"/>
    <w:rsid w:val="3AC02478"/>
    <w:rsid w:val="4128254D"/>
    <w:rsid w:val="41895C69"/>
    <w:rsid w:val="45001AA8"/>
    <w:rsid w:val="452408D9"/>
    <w:rsid w:val="47153A80"/>
    <w:rsid w:val="4A4273F5"/>
    <w:rsid w:val="4C7435E7"/>
    <w:rsid w:val="4D7A636B"/>
    <w:rsid w:val="4E8423A4"/>
    <w:rsid w:val="4E8B1238"/>
    <w:rsid w:val="4FF4461E"/>
    <w:rsid w:val="501854BA"/>
    <w:rsid w:val="51CF4D5B"/>
    <w:rsid w:val="53147A40"/>
    <w:rsid w:val="54283BBD"/>
    <w:rsid w:val="5574205B"/>
    <w:rsid w:val="563C5B6F"/>
    <w:rsid w:val="58827E72"/>
    <w:rsid w:val="58F1632E"/>
    <w:rsid w:val="5E4C5812"/>
    <w:rsid w:val="5F5F4E5B"/>
    <w:rsid w:val="61CA1F99"/>
    <w:rsid w:val="62BB0239"/>
    <w:rsid w:val="636E7C04"/>
    <w:rsid w:val="665E4AEA"/>
    <w:rsid w:val="66A51574"/>
    <w:rsid w:val="69901F0B"/>
    <w:rsid w:val="6C1A1E04"/>
    <w:rsid w:val="6D9D309E"/>
    <w:rsid w:val="6F172A4A"/>
    <w:rsid w:val="709C6698"/>
    <w:rsid w:val="710354FB"/>
    <w:rsid w:val="726B711F"/>
    <w:rsid w:val="72E519EE"/>
    <w:rsid w:val="73FD2592"/>
    <w:rsid w:val="77052EC8"/>
    <w:rsid w:val="7775298B"/>
    <w:rsid w:val="798F45F8"/>
    <w:rsid w:val="7A2E40B5"/>
    <w:rsid w:val="7B2F7516"/>
    <w:rsid w:val="7F275ABE"/>
    <w:rsid w:val="7FEBAC30"/>
    <w:rsid w:val="7FFB1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Calibri" w:hAnsi="Calibri"/>
      <w:szCs w:val="22"/>
    </w:rPr>
  </w:style>
  <w:style w:type="paragraph" w:styleId="3">
    <w:name w:val="caption"/>
    <w:basedOn w:val="1"/>
    <w:next w:val="1"/>
    <w:qFormat/>
    <w:uiPriority w:val="0"/>
    <w:pPr>
      <w:suppressLineNumbers/>
      <w:spacing w:before="120" w:after="120"/>
    </w:pPr>
    <w:rPr>
      <w:i/>
      <w:iCs/>
      <w:sz w:val="24"/>
    </w:rPr>
  </w:style>
  <w:style w:type="paragraph" w:styleId="4">
    <w:name w:val="Body Text"/>
    <w:basedOn w:val="1"/>
    <w:qFormat/>
    <w:uiPriority w:val="0"/>
    <w:pPr>
      <w:spacing w:after="140" w:line="276" w:lineRule="auto"/>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4"/>
    <w:qFormat/>
    <w:uiPriority w:val="0"/>
  </w:style>
  <w:style w:type="character" w:styleId="10">
    <w:name w:val="page number"/>
    <w:basedOn w:val="9"/>
    <w:qFormat/>
    <w:uiPriority w:val="0"/>
  </w:style>
  <w:style w:type="character" w:customStyle="1" w:styleId="11">
    <w:name w:val="默认段落字体1"/>
    <w:qFormat/>
    <w:uiPriority w:val="0"/>
  </w:style>
  <w:style w:type="paragraph" w:customStyle="1" w:styleId="12">
    <w:name w:val="Index"/>
    <w:basedOn w:val="1"/>
    <w:qFormat/>
    <w:uiPriority w:val="0"/>
    <w:pPr>
      <w:suppressLineNumbers/>
    </w:pPr>
  </w:style>
  <w:style w:type="paragraph" w:customStyle="1" w:styleId="13">
    <w:name w:val="Heading"/>
    <w:basedOn w:val="1"/>
    <w:next w:val="4"/>
    <w:qFormat/>
    <w:uiPriority w:val="0"/>
    <w:pPr>
      <w:keepNext/>
      <w:spacing w:before="240" w:after="120"/>
    </w:pPr>
    <w:rPr>
      <w:rFonts w:ascii="Liberation Sans" w:hAnsi="Liberation Sans" w:eastAsia="Noto Sans CJK SC Regular" w:cs="Noto Sans CJK SC Regular"/>
      <w:sz w:val="28"/>
      <w:szCs w:val="28"/>
    </w:rPr>
  </w:style>
  <w:style w:type="character" w:customStyle="1" w:styleId="14">
    <w:name w:val="页眉 Char"/>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433</Words>
  <Characters>2469</Characters>
  <Lines>20</Lines>
  <Paragraphs>5</Paragraphs>
  <TotalTime>16</TotalTime>
  <ScaleCrop>false</ScaleCrop>
  <LinksUpToDate>false</LinksUpToDate>
  <CharactersWithSpaces>2897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2022-01-05T06:22:00Z</dcterms:created>
  <dc:creator>user</dc:creator>
  <cp:lastModifiedBy>GRR</cp:lastModifiedBy>
  <cp:lastPrinted>2023-01-29T03:32:00Z</cp:lastPrinted>
  <dcterms:modified xsi:type="dcterms:W3CDTF">2023-02-03T07:59:50Z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