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中共北京市丰台区委北京市丰台区人民政府研究室</w:t>
      </w:r>
    </w:p>
    <w:p>
      <w:pPr>
        <w:jc w:val="center"/>
        <w:rPr>
          <w:rFonts w:hint="eastAsia" w:ascii="宋体" w:hAnsi="宋体" w:eastAsia="宋体" w:cs="宋体"/>
          <w:sz w:val="32"/>
          <w:szCs w:val="32"/>
          <w:lang w:val="en-US" w:eastAsia="zh-CN"/>
        </w:rPr>
      </w:pPr>
      <w:bookmarkStart w:id="1" w:name="_GoBack"/>
      <w:bookmarkEnd w:id="1"/>
      <w:r>
        <w:rPr>
          <w:rFonts w:hint="eastAsia" w:ascii="宋体" w:hAnsi="宋体" w:eastAsia="宋体" w:cs="宋体"/>
          <w:sz w:val="32"/>
          <w:szCs w:val="32"/>
          <w:lang w:val="en-US" w:eastAsia="zh-CN"/>
        </w:rPr>
        <w:t>2024年度部门预算说明</w:t>
      </w:r>
    </w:p>
    <w:p>
      <w:pPr>
        <w:pStyle w:val="2"/>
        <w:rPr>
          <w:rFonts w:hint="eastAsia" w:ascii="宋体" w:hAnsi="宋体" w:eastAsia="宋体" w:cs="宋体"/>
          <w:sz w:val="32"/>
          <w:szCs w:val="32"/>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一、部门情况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（一）部门机构设置、职责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w:t>
      </w:r>
      <w:bookmarkStart w:id="0" w:name="YS060101"/>
      <w:r>
        <w:rPr>
          <w:rFonts w:hint="eastAsia" w:ascii="宋体" w:hAnsi="宋体" w:eastAsia="宋体" w:cs="宋体"/>
          <w:sz w:val="32"/>
          <w:szCs w:val="32"/>
          <w:lang w:val="en-US" w:eastAsia="zh-CN"/>
        </w:rPr>
        <w:t>1、中共北京市丰台区委北京市丰台区人民政府研究室属正处级行政单位，根据区委区政府的工作部署，围绕全区长远规划和近期中心工作，按照区委的指示和确定的重点课题，开展调研，并提供决策和意见等；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2、负责撰写区委、区政府重要文件、文稿；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3、组织协调全区调研工作；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4、区委全面深化改革领导小组下设办公室（简称区委改革办），作为常设机构设在区委区政府研究室，处理区委全面深化改革领导小组日常事务工作，组织开展决策研究，统筹协调督促全区改革工作。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color w:val="auto"/>
          <w:kern w:val="2"/>
          <w:sz w:val="32"/>
          <w:szCs w:val="32"/>
          <w:lang w:val="en-US" w:eastAsia="zh-CN" w:bidi="ar-SA"/>
        </w:rPr>
        <w:t>（二）</w:t>
      </w:r>
      <w:r>
        <w:rPr>
          <w:rFonts w:hint="eastAsia" w:ascii="宋体" w:hAnsi="宋体" w:eastAsia="宋体" w:cs="宋体"/>
          <w:sz w:val="32"/>
          <w:szCs w:val="32"/>
          <w:lang w:val="en-US" w:eastAsia="zh-CN"/>
        </w:rPr>
        <w:t>部门机构设置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行政单位1个，内设4个职能科室，分别是：办公室、研究一科、研究二科、改革</w:t>
      </w:r>
      <w:r>
        <w:rPr>
          <w:rFonts w:hint="eastAsia" w:ascii="宋体" w:hAnsi="宋体" w:eastAsia="宋体" w:cs="宋体"/>
          <w:color w:val="000000"/>
          <w:sz w:val="32"/>
          <w:szCs w:val="32"/>
          <w:highlight w:val="none"/>
          <w:lang w:val="en-US" w:eastAsia="zh-CN"/>
        </w:rPr>
        <w:t>办</w:t>
      </w:r>
      <w:r>
        <w:rPr>
          <w:rFonts w:hint="eastAsia" w:ascii="宋体" w:hAnsi="宋体" w:eastAsia="宋体" w:cs="宋体"/>
          <w:sz w:val="32"/>
          <w:szCs w:val="32"/>
          <w:lang w:val="en-US" w:eastAsia="zh-CN"/>
        </w:rPr>
        <w:t>综合科。无下属单位。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color w:val="auto"/>
          <w:kern w:val="2"/>
          <w:sz w:val="32"/>
          <w:szCs w:val="32"/>
          <w:lang w:val="en-US" w:eastAsia="zh-CN" w:bidi="ar-SA"/>
        </w:rPr>
        <w:t>（三）</w:t>
      </w:r>
      <w:r>
        <w:rPr>
          <w:rFonts w:hint="eastAsia" w:ascii="宋体" w:hAnsi="宋体" w:eastAsia="宋体" w:cs="宋体"/>
          <w:sz w:val="32"/>
          <w:szCs w:val="32"/>
          <w:lang w:val="en-US" w:eastAsia="zh-CN"/>
        </w:rPr>
        <w:t>人员构成情况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区委区政府研究室行政编制16人，工勤编制1人</w:t>
      </w:r>
      <w:r>
        <w:rPr>
          <w:rFonts w:hint="eastAsia" w:ascii="宋体" w:hAnsi="宋体" w:eastAsia="宋体" w:cs="宋体"/>
          <w:color w:val="000000"/>
          <w:sz w:val="32"/>
          <w:szCs w:val="32"/>
          <w:highlight w:val="none"/>
          <w:lang w:val="en-US" w:eastAsia="zh-CN"/>
        </w:rPr>
        <w:t>，</w:t>
      </w:r>
      <w:r>
        <w:rPr>
          <w:rFonts w:hint="eastAsia" w:ascii="宋体" w:hAnsi="宋体" w:eastAsia="宋体" w:cs="宋体"/>
          <w:sz w:val="32"/>
          <w:szCs w:val="32"/>
          <w:lang w:val="en-US" w:eastAsia="zh-CN"/>
        </w:rPr>
        <w:t>实有14人，无聘用人员；离退休人员4人，其中：离休0人，退休4人。</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color w:val="auto"/>
          <w:kern w:val="2"/>
          <w:sz w:val="32"/>
          <w:szCs w:val="32"/>
          <w:lang w:val="en-US" w:eastAsia="zh-CN" w:bidi="ar-SA"/>
        </w:rPr>
        <w:t>（四）</w:t>
      </w:r>
      <w:r>
        <w:rPr>
          <w:rFonts w:hint="eastAsia" w:ascii="宋体" w:hAnsi="宋体" w:eastAsia="宋体" w:cs="宋体"/>
          <w:sz w:val="32"/>
          <w:szCs w:val="32"/>
          <w:lang w:val="en-US" w:eastAsia="zh-CN"/>
        </w:rPr>
        <w:t>本预算年度的主要工作任务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cs="宋体"/>
          <w:sz w:val="32"/>
          <w:szCs w:val="32"/>
          <w:lang w:val="en-US" w:eastAsia="zh-CN"/>
        </w:rPr>
        <w:t>1、</w:t>
      </w:r>
      <w:r>
        <w:rPr>
          <w:rFonts w:hint="eastAsia" w:ascii="宋体" w:hAnsi="宋体" w:eastAsia="宋体" w:cs="宋体"/>
          <w:sz w:val="32"/>
          <w:szCs w:val="32"/>
          <w:lang w:val="en-US" w:eastAsia="zh-CN"/>
        </w:rPr>
        <w:t>围绕全区中心工作,拟定重点课题，组织开展调查研究，为区委、区政府科学决策提供参考。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cs="宋体"/>
          <w:sz w:val="32"/>
          <w:szCs w:val="32"/>
          <w:lang w:val="en-US" w:eastAsia="zh-CN"/>
        </w:rPr>
        <w:t>2、</w:t>
      </w:r>
      <w:r>
        <w:rPr>
          <w:rFonts w:hint="eastAsia" w:ascii="宋体" w:hAnsi="宋体" w:eastAsia="宋体" w:cs="宋体"/>
          <w:sz w:val="32"/>
          <w:szCs w:val="32"/>
          <w:lang w:val="en-US" w:eastAsia="zh-CN"/>
        </w:rPr>
        <w:t>撰写区委区政府重要文稿、讲话稿等，组织或协同有关部门起草综合性重要材料。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cs="宋体"/>
          <w:sz w:val="32"/>
          <w:szCs w:val="32"/>
          <w:lang w:val="en-US" w:eastAsia="zh-CN"/>
        </w:rPr>
        <w:t>3、</w:t>
      </w:r>
      <w:r>
        <w:rPr>
          <w:rFonts w:hint="eastAsia" w:ascii="宋体" w:hAnsi="宋体" w:eastAsia="宋体" w:cs="宋体"/>
          <w:sz w:val="32"/>
          <w:szCs w:val="32"/>
          <w:lang w:val="en-US" w:eastAsia="zh-CN"/>
        </w:rPr>
        <w:t>加强对调查研究工作的整体谋划，着力增强对全区各单位调研指导的针对性和实效性，广泛收集各类调研课题报告并形成成果汇编。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cs="宋体"/>
          <w:sz w:val="32"/>
          <w:szCs w:val="32"/>
          <w:lang w:val="en-US" w:eastAsia="zh-CN"/>
        </w:rPr>
        <w:t>4、</w:t>
      </w:r>
      <w:r>
        <w:rPr>
          <w:rFonts w:hint="eastAsia" w:ascii="宋体" w:hAnsi="宋体" w:eastAsia="宋体" w:cs="宋体"/>
          <w:sz w:val="32"/>
          <w:szCs w:val="32"/>
          <w:lang w:val="en-US" w:eastAsia="zh-CN"/>
        </w:rPr>
        <w:t>扎实推动全面深化改革工作，及时调整优化专项小组设置，持续完善区委全面深化改革委员会、专项小组及改革办工作规则。协调督促有关方面落实区委深改委的决定事项、工作部署和要求。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cs="宋体"/>
          <w:sz w:val="32"/>
          <w:szCs w:val="32"/>
          <w:lang w:val="en-US" w:eastAsia="zh-CN"/>
        </w:rPr>
        <w:t>5、</w:t>
      </w:r>
      <w:r>
        <w:rPr>
          <w:rFonts w:hint="eastAsia" w:ascii="宋体" w:hAnsi="宋体" w:eastAsia="宋体" w:cs="宋体"/>
          <w:sz w:val="32"/>
          <w:szCs w:val="32"/>
          <w:lang w:val="en-US" w:eastAsia="zh-CN"/>
        </w:rPr>
        <w:t>组织智库联盟相关活动，邀请专家、学者就丰台区发展中的重大问题进行专项研究、座谈，组织专家对全区经济社会发展的重大决策开展咨询。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二、收入预算情况说明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2024年收入预算574.32万元，比2023年661.58万元减少87.26万元，下降13.19%，主要原因是2名工作人员调出。其中：本年财政拨款收入574.32万元,比2023年661.58万元减少87.26万元；本年其他资金收入0万元,比2023年0万元减少0万元；上年结转结余资金0万元,比2023年0万元减少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三、支出预算情况说明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2024年支出预算574.32万元，比2023年661.58万元减少87.26万元，下降13.19%，主要原因是2名工作人员调出。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（一）基本支出预算520.09万元，占总支出预算90.56%，比2023年642.93万元减少122.84万元，下降19.1%。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（二）项目支出预算54.23万元，</w:t>
      </w:r>
      <w:r>
        <w:rPr>
          <w:rFonts w:hint="eastAsia" w:ascii="宋体" w:hAnsi="宋体" w:eastAsia="宋体" w:cs="宋体"/>
          <w:sz w:val="32"/>
          <w:szCs w:val="32"/>
          <w:highlight w:val="none"/>
          <w:lang w:val="en-US" w:eastAsia="zh-CN"/>
        </w:rPr>
        <w:t>比</w:t>
      </w:r>
      <w:r>
        <w:rPr>
          <w:rFonts w:hint="eastAsia" w:ascii="宋体" w:hAnsi="宋体" w:eastAsia="宋体" w:cs="宋体"/>
          <w:sz w:val="32"/>
          <w:szCs w:val="32"/>
          <w:highlight w:val="none"/>
          <w:u w:val="single" w:color="FFFFFF"/>
          <w:lang w:val="en-US" w:eastAsia="zh-CN"/>
        </w:rPr>
        <w:t>2023年31.73万元增加22.5万元，增长70.9%</w:t>
      </w:r>
      <w:r>
        <w:rPr>
          <w:rFonts w:hint="eastAsia" w:ascii="宋体" w:hAnsi="宋体" w:eastAsia="宋体" w:cs="宋体"/>
          <w:sz w:val="32"/>
          <w:szCs w:val="32"/>
          <w:lang w:val="en-US" w:eastAsia="zh-CN"/>
        </w:rPr>
        <w:t>，增加原因是课题费用</w:t>
      </w:r>
      <w:r>
        <w:rPr>
          <w:rFonts w:hint="eastAsia" w:ascii="宋体" w:hAnsi="宋体" w:eastAsia="宋体" w:cs="宋体"/>
          <w:sz w:val="32"/>
          <w:szCs w:val="32"/>
          <w:highlight w:val="none"/>
          <w:lang w:val="en-US" w:eastAsia="zh-CN"/>
        </w:rPr>
        <w:t>和印刷费用</w:t>
      </w:r>
      <w:r>
        <w:rPr>
          <w:rFonts w:hint="eastAsia" w:ascii="宋体" w:hAnsi="宋体" w:eastAsia="宋体" w:cs="宋体"/>
          <w:sz w:val="32"/>
          <w:szCs w:val="32"/>
          <w:lang w:val="en-US" w:eastAsia="zh-CN"/>
        </w:rPr>
        <w:t>增加。部门预算项目主要为课题调研费、</w:t>
      </w:r>
      <w:r>
        <w:rPr>
          <w:rFonts w:hint="eastAsia" w:ascii="宋体" w:hAnsi="宋体" w:eastAsia="宋体" w:cs="宋体"/>
          <w:sz w:val="32"/>
          <w:szCs w:val="32"/>
          <w:highlight w:val="none"/>
          <w:lang w:val="en-US" w:eastAsia="zh-CN"/>
        </w:rPr>
        <w:t>调研成果</w:t>
      </w:r>
      <w:r>
        <w:rPr>
          <w:rFonts w:hint="eastAsia" w:ascii="宋体" w:hAnsi="宋体" w:eastAsia="宋体" w:cs="宋体"/>
          <w:sz w:val="32"/>
          <w:szCs w:val="32"/>
          <w:lang w:val="en-US" w:eastAsia="zh-CN"/>
        </w:rPr>
        <w:t>汇编</w:t>
      </w:r>
      <w:r>
        <w:rPr>
          <w:rFonts w:hint="eastAsia" w:ascii="宋体" w:hAnsi="宋体" w:eastAsia="宋体" w:cs="宋体"/>
          <w:sz w:val="32"/>
          <w:szCs w:val="32"/>
          <w:highlight w:val="none"/>
          <w:lang w:val="en-US" w:eastAsia="zh-CN"/>
        </w:rPr>
        <w:t>印制</w:t>
      </w:r>
      <w:r>
        <w:rPr>
          <w:rFonts w:hint="eastAsia" w:ascii="宋体" w:hAnsi="宋体" w:eastAsia="宋体" w:cs="宋体"/>
          <w:sz w:val="32"/>
          <w:szCs w:val="32"/>
          <w:lang w:val="en-US" w:eastAsia="zh-CN"/>
        </w:rPr>
        <w:t>费、</w:t>
      </w:r>
      <w:r>
        <w:rPr>
          <w:rFonts w:hint="eastAsia" w:ascii="宋体" w:hAnsi="宋体" w:eastAsia="宋体" w:cs="宋体"/>
          <w:sz w:val="32"/>
          <w:szCs w:val="32"/>
          <w:highlight w:val="none"/>
          <w:lang w:val="en-US" w:eastAsia="zh-CN"/>
        </w:rPr>
        <w:t>专家顾问费</w:t>
      </w:r>
      <w:r>
        <w:rPr>
          <w:rFonts w:hint="eastAsia" w:ascii="宋体" w:hAnsi="宋体" w:eastAsia="宋体" w:cs="宋体"/>
          <w:sz w:val="32"/>
          <w:szCs w:val="32"/>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（三）事业单位经营支出0万元。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（四）上缴上级支出0万元。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（五）对附属单位补助支出0万元。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四、财政拨款“三公”经费预算情况说明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（一）“三公”经费的单位范围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区委区政府研究室因公出国（境）费用、公务接待费、公务用车购置和运行维护费开支单位包括0个所属单位。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财政拨款“三公”经费情况说明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2024年财政拨款“三公”经费预算0万元，比2023年“三公”经费财政拨款预算增加或减少0万元。其中：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1.因公出国（境）费用。2024年预算数0万元，比2023年预算数0万元增加或减少0万元。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2.公务接待费。2024年预算数0万元，比2023年预算数0万元增加或减少0万元。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3.公务用车购置和运行维护费。2024年预算数0万元，其中，公务用车购置费2024年预算数0万元，比2023年预算数0万元增加或减少0万元。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五、其他情况说明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（一）政府采购预算情况说明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2024年区委区政府研究室</w:t>
      </w:r>
      <w:r>
        <w:rPr>
          <w:rFonts w:hint="eastAsia" w:ascii="宋体" w:hAnsi="宋体" w:eastAsia="宋体" w:cs="宋体"/>
          <w:sz w:val="32"/>
          <w:szCs w:val="32"/>
          <w:highlight w:val="none"/>
          <w:lang w:val="en-US" w:eastAsia="zh-CN"/>
        </w:rPr>
        <w:t>政府采购预算总额54.23万</w:t>
      </w:r>
      <w:r>
        <w:rPr>
          <w:rFonts w:hint="eastAsia" w:ascii="宋体" w:hAnsi="宋体" w:eastAsia="宋体" w:cs="宋体"/>
          <w:sz w:val="32"/>
          <w:szCs w:val="32"/>
          <w:lang w:val="en-US" w:eastAsia="zh-CN"/>
        </w:rPr>
        <w:t>元，</w:t>
      </w:r>
      <w:r>
        <w:rPr>
          <w:rFonts w:hint="eastAsia" w:ascii="宋体" w:hAnsi="宋体" w:eastAsia="宋体" w:cs="宋体"/>
          <w:sz w:val="32"/>
          <w:szCs w:val="32"/>
          <w:highlight w:val="none"/>
          <w:lang w:val="en-US" w:eastAsia="zh-CN"/>
        </w:rPr>
        <w:t>其中政府采购货物预算0万元，政府采购工程预算0万元，政府采购服务预算54.23万元。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（二）政府购买服务预算说明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2024年区委区政府研究室政府购买服务预算总额54.23万元。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（三）机关运行经费情况说明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2024年区委区政府研究室1家行政单位机关运行经费财政拨款预算33.19万元。</w:t>
      </w:r>
    </w:p>
    <w:p>
      <w:pPr>
        <w:keepNext w:val="0"/>
        <w:keepLines w:val="0"/>
        <w:pageBreakBefore w:val="0"/>
        <w:widowControl w:val="0"/>
        <w:kinsoku/>
        <w:wordWrap/>
        <w:overflowPunct/>
        <w:topLinePunct w:val="0"/>
        <w:autoSpaceDE/>
        <w:autoSpaceDN/>
        <w:bidi w:val="0"/>
        <w:spacing w:line="48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机关运行经费：是指行政单位（含参照公务员法管理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（四）项目支出绩效目标情况说明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2024年，区委区政府研究室填报绩效目标的预算项目3个，占全部预算项目4个的75%。填报绩效目标的项目支出预算54万元，占本部门全部项目支出预算的99.6%。（注：不含基本支出）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（五）重点行政事业性收费情况说明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本部门2024年无重点行政事业性收费。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（六）国有资本经营预算财政拨款情况说明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本部门2024年无国有资本经营预算财政拨款安排的预算。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（七）国有资产占有使用情况说明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截止2023年底，本部门（包括各下属单位）共有车辆0台，共计0万元；单位价值100万元（含）以上的设备（不含车辆）0台（套），共计0万元。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其他事项说明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六、名词解释</w:t>
      </w:r>
    </w:p>
    <w:p>
      <w:pPr>
        <w:keepNext w:val="0"/>
        <w:keepLines w:val="0"/>
        <w:pageBreakBefore w:val="0"/>
        <w:widowControl w:val="0"/>
        <w:kinsoku/>
        <w:wordWrap/>
        <w:overflowPunct/>
        <w:topLinePunct w:val="0"/>
        <w:autoSpaceDE/>
        <w:autoSpaceDN/>
        <w:bidi w:val="0"/>
        <w:spacing w:line="480" w:lineRule="exact"/>
        <w:ind w:left="0"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预算：</w:t>
      </w:r>
      <w:r>
        <w:rPr>
          <w:rFonts w:hint="eastAsia" w:ascii="宋体" w:hAnsi="宋体" w:eastAsia="宋体" w:cs="宋体"/>
          <w:sz w:val="32"/>
          <w:szCs w:val="32"/>
        </w:rPr>
        <w:t>指遵循统筹兼顾、勤俭节约、量力而行、讲求绩效和收支平衡的原则编制，经法定程序审核批准的国家年度集中性财政收支计划。政府的全部收入和支出都应当纳入预算，地方各级预算一般不列赤字。</w:t>
      </w:r>
    </w:p>
    <w:p>
      <w:pPr>
        <w:keepNext w:val="0"/>
        <w:keepLines w:val="0"/>
        <w:pageBreakBefore w:val="0"/>
        <w:widowControl w:val="0"/>
        <w:kinsoku/>
        <w:wordWrap/>
        <w:overflowPunct/>
        <w:topLinePunct w:val="0"/>
        <w:autoSpaceDE/>
        <w:autoSpaceDN/>
        <w:bidi w:val="0"/>
        <w:spacing w:line="480" w:lineRule="exact"/>
        <w:ind w:left="0"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政府预算体系：</w:t>
      </w:r>
      <w:r>
        <w:rPr>
          <w:rFonts w:hint="eastAsia" w:ascii="宋体" w:hAnsi="宋体" w:eastAsia="宋体" w:cs="宋体"/>
          <w:sz w:val="32"/>
          <w:szCs w:val="32"/>
        </w:rPr>
        <w:t>由一般公共预算、政府性基金预算、国有资本经营预算和社会保险基金预算共同组成。四本预算保持完整、独立并相衔接，全面反映政府收支总量、结构和管理活动。</w:t>
      </w:r>
    </w:p>
    <w:p>
      <w:pPr>
        <w:keepNext w:val="0"/>
        <w:keepLines w:val="0"/>
        <w:pageBreakBefore w:val="0"/>
        <w:widowControl w:val="0"/>
        <w:kinsoku/>
        <w:wordWrap/>
        <w:overflowPunct/>
        <w:topLinePunct w:val="0"/>
        <w:autoSpaceDE/>
        <w:autoSpaceDN/>
        <w:bidi w:val="0"/>
        <w:spacing w:line="480" w:lineRule="exact"/>
        <w:ind w:left="0"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一般公共预算：</w:t>
      </w:r>
      <w:r>
        <w:rPr>
          <w:rFonts w:hint="eastAsia" w:ascii="宋体" w:hAnsi="宋体" w:eastAsia="宋体" w:cs="宋体"/>
          <w:sz w:val="32"/>
          <w:szCs w:val="32"/>
        </w:rPr>
        <w:t>对以税收为主体的财政收入，安排用于保障和改善民生、推动经济社会发展、维护国家安全、维持国家机构正常运转等方面的收支预算。</w:t>
      </w:r>
    </w:p>
    <w:p>
      <w:pPr>
        <w:keepNext w:val="0"/>
        <w:keepLines w:val="0"/>
        <w:pageBreakBefore w:val="0"/>
        <w:widowControl w:val="0"/>
        <w:kinsoku/>
        <w:wordWrap/>
        <w:overflowPunct/>
        <w:topLinePunct w:val="0"/>
        <w:autoSpaceDE/>
        <w:autoSpaceDN/>
        <w:bidi w:val="0"/>
        <w:spacing w:line="480" w:lineRule="exact"/>
        <w:ind w:left="0"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政府性基金预算：</w:t>
      </w:r>
      <w:r>
        <w:rPr>
          <w:rFonts w:hint="eastAsia" w:ascii="宋体" w:hAnsi="宋体" w:eastAsia="宋体" w:cs="宋体"/>
          <w:sz w:val="32"/>
          <w:szCs w:val="32"/>
        </w:rPr>
        <w:t>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pPr>
        <w:keepNext w:val="0"/>
        <w:keepLines w:val="0"/>
        <w:pageBreakBefore w:val="0"/>
        <w:widowControl w:val="0"/>
        <w:kinsoku/>
        <w:wordWrap/>
        <w:overflowPunct/>
        <w:topLinePunct w:val="0"/>
        <w:autoSpaceDE/>
        <w:autoSpaceDN/>
        <w:bidi w:val="0"/>
        <w:spacing w:line="480" w:lineRule="exact"/>
        <w:ind w:left="0"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国有资本经营预算：</w:t>
      </w:r>
      <w:r>
        <w:rPr>
          <w:rFonts w:hint="eastAsia" w:ascii="宋体" w:hAnsi="宋体" w:eastAsia="宋体" w:cs="宋体"/>
          <w:sz w:val="32"/>
          <w:szCs w:val="32"/>
        </w:rPr>
        <w:t>对国有资本收益作为支出安排的收支预算。国有资本经营预算应当按照收支平衡的原则编制，不列赤字，并安排资金调入一般公共预算。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460E44"/>
    <w:multiLevelType w:val="singleLevel"/>
    <w:tmpl w:val="B7460E44"/>
    <w:lvl w:ilvl="0" w:tentative="0">
      <w:start w:val="8"/>
      <w:numFmt w:val="chineseCounting"/>
      <w:suff w:val="nothing"/>
      <w:lvlText w:val="（%1）"/>
      <w:lvlJc w:val="left"/>
      <w:rPr>
        <w:rFonts w:hint="eastAsia"/>
      </w:rPr>
    </w:lvl>
  </w:abstractNum>
  <w:abstractNum w:abstractNumId="1">
    <w:nsid w:val="2DD128F2"/>
    <w:multiLevelType w:val="singleLevel"/>
    <w:tmpl w:val="2DD128F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908B9"/>
    <w:rsid w:val="15C02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2024-01-31T06:57:26Z</dcterms:created>
  <dc:creator>HeCuiMei</dc:creator>
  <cp:lastModifiedBy>HeCuiMei</cp:lastModifiedBy>
  <dcterms:modified xsi:type="dcterms:W3CDTF">2024-01-31T06:59:22Z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E0B3B1F3D2244380B65F254A48E83EB0</vt:lpwstr>
  </property>
</Properties>
</file>